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D0A1D" w14:textId="0FC7007B" w:rsidR="0000481A" w:rsidRDefault="0000481A" w:rsidP="0000481A">
      <w:pPr>
        <w:tabs>
          <w:tab w:val="left" w:leader="underscore" w:pos="9639"/>
        </w:tabs>
        <w:spacing w:after="0" w:line="240" w:lineRule="auto"/>
        <w:jc w:val="both"/>
        <w:rPr>
          <w:rFonts w:ascii="Arial" w:hAnsi="Arial" w:cs="Arial"/>
          <w:sz w:val="16"/>
          <w:szCs w:val="16"/>
        </w:rPr>
      </w:pPr>
    </w:p>
    <w:p w14:paraId="606A320B" w14:textId="650EB526" w:rsidR="0000481A" w:rsidRDefault="0000481A" w:rsidP="0000481A">
      <w:pPr>
        <w:tabs>
          <w:tab w:val="left" w:leader="underscore" w:pos="9639"/>
        </w:tabs>
        <w:spacing w:after="0" w:line="240" w:lineRule="auto"/>
        <w:jc w:val="both"/>
        <w:rPr>
          <w:rFonts w:ascii="Arial" w:hAnsi="Arial" w:cs="Arial"/>
          <w:sz w:val="16"/>
          <w:szCs w:val="16"/>
        </w:rPr>
      </w:pPr>
    </w:p>
    <w:p w14:paraId="1E549C7C" w14:textId="77777777" w:rsidR="0000481A" w:rsidRPr="00E74967" w:rsidRDefault="0000481A" w:rsidP="0000481A">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004854E4" w14:textId="71ED5962" w:rsidR="0000481A" w:rsidRDefault="0000481A" w:rsidP="0000481A">
      <w:pPr>
        <w:tabs>
          <w:tab w:val="left" w:leader="underscore" w:pos="9639"/>
        </w:tabs>
        <w:spacing w:after="0" w:line="240" w:lineRule="auto"/>
        <w:jc w:val="both"/>
        <w:rPr>
          <w:rFonts w:ascii="Arial" w:hAnsi="Arial" w:cs="Arial"/>
          <w:sz w:val="16"/>
          <w:szCs w:val="16"/>
        </w:rPr>
      </w:pPr>
    </w:p>
    <w:p w14:paraId="398B0B66" w14:textId="26412797" w:rsidR="0000481A" w:rsidRDefault="0000481A" w:rsidP="0000481A">
      <w:pPr>
        <w:tabs>
          <w:tab w:val="left" w:leader="underscore" w:pos="9639"/>
        </w:tabs>
        <w:spacing w:after="0" w:line="240" w:lineRule="auto"/>
        <w:jc w:val="both"/>
        <w:rPr>
          <w:rFonts w:ascii="Arial" w:hAnsi="Arial" w:cs="Arial"/>
          <w:sz w:val="16"/>
          <w:szCs w:val="16"/>
        </w:rPr>
      </w:pPr>
    </w:p>
    <w:p w14:paraId="2C989609" w14:textId="77777777" w:rsidR="0000481A" w:rsidRDefault="0000481A" w:rsidP="0000481A">
      <w:pPr>
        <w:tabs>
          <w:tab w:val="left" w:leader="underscore" w:pos="9639"/>
        </w:tabs>
        <w:spacing w:after="0" w:line="240" w:lineRule="auto"/>
        <w:jc w:val="both"/>
        <w:rPr>
          <w:rFonts w:ascii="Arial" w:hAnsi="Arial" w:cs="Arial"/>
          <w:sz w:val="16"/>
          <w:szCs w:val="16"/>
        </w:rPr>
      </w:pPr>
    </w:p>
    <w:p w14:paraId="2B27050E" w14:textId="242A68A3"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Los Estados Financieros de los entes públicos, proveen de información financiera a los principales usuarios de la misma, al Congreso y a los ciudadanos.</w:t>
      </w:r>
    </w:p>
    <w:p w14:paraId="12F9BB1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18AFC0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r>
        <w:rPr>
          <w:rFonts w:ascii="Arial" w:hAnsi="Arial" w:cs="Arial"/>
          <w:sz w:val="16"/>
          <w:szCs w:val="16"/>
        </w:rPr>
        <w:t>.</w:t>
      </w:r>
    </w:p>
    <w:p w14:paraId="1BF38BD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9493F4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3A0E58A5" w14:textId="77777777" w:rsidR="0000481A" w:rsidRPr="00533B7E" w:rsidRDefault="0000481A" w:rsidP="0000481A">
      <w:pPr>
        <w:pStyle w:val="Prrafodelista"/>
        <w:tabs>
          <w:tab w:val="left" w:leader="underscore" w:pos="9639"/>
        </w:tabs>
        <w:spacing w:after="0" w:line="240" w:lineRule="auto"/>
        <w:jc w:val="both"/>
        <w:rPr>
          <w:rFonts w:ascii="Arial" w:hAnsi="Arial" w:cs="Arial"/>
          <w:sz w:val="16"/>
          <w:szCs w:val="16"/>
        </w:rPr>
      </w:pPr>
    </w:p>
    <w:p w14:paraId="536B8C74" w14:textId="77777777" w:rsidR="0000481A" w:rsidRDefault="0000481A" w:rsidP="0000481A">
      <w:pPr>
        <w:pStyle w:val="Prrafodelista"/>
        <w:numPr>
          <w:ilvl w:val="0"/>
          <w:numId w:val="1"/>
        </w:num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notas de gestión administrativa deben contener los siguientes puntos</w:t>
      </w:r>
      <w:r>
        <w:rPr>
          <w:rFonts w:ascii="Arial" w:hAnsi="Arial" w:cs="Arial"/>
          <w:sz w:val="16"/>
          <w:szCs w:val="16"/>
        </w:rPr>
        <w:t>:</w:t>
      </w:r>
    </w:p>
    <w:sdt>
      <w:sdtPr>
        <w:rPr>
          <w:rFonts w:ascii="Arial" w:eastAsia="Calibri" w:hAnsi="Arial" w:cs="Arial"/>
          <w:color w:val="auto"/>
          <w:sz w:val="16"/>
          <w:szCs w:val="16"/>
          <w:lang w:val="es-ES" w:eastAsia="en-US"/>
        </w:rPr>
        <w:id w:val="2128732697"/>
        <w:docPartObj>
          <w:docPartGallery w:val="Table of Contents"/>
          <w:docPartUnique/>
        </w:docPartObj>
      </w:sdtPr>
      <w:sdtEndPr>
        <w:rPr>
          <w:b/>
          <w:bCs/>
        </w:rPr>
      </w:sdtEndPr>
      <w:sdtContent>
        <w:p w14:paraId="30020855" w14:textId="77777777" w:rsidR="0000481A" w:rsidRPr="00533B7E" w:rsidRDefault="0000481A" w:rsidP="0000481A">
          <w:pPr>
            <w:pStyle w:val="TtuloTDC"/>
            <w:tabs>
              <w:tab w:val="left" w:pos="6580"/>
            </w:tabs>
            <w:rPr>
              <w:rFonts w:ascii="Arial" w:hAnsi="Arial" w:cs="Arial"/>
              <w:sz w:val="16"/>
              <w:szCs w:val="16"/>
            </w:rPr>
          </w:pPr>
          <w:r w:rsidRPr="00533B7E">
            <w:rPr>
              <w:rFonts w:ascii="Arial" w:hAnsi="Arial" w:cs="Arial"/>
              <w:sz w:val="16"/>
              <w:szCs w:val="16"/>
              <w:lang w:val="es-ES"/>
            </w:rPr>
            <w:t>Contenido</w:t>
          </w:r>
          <w:r>
            <w:rPr>
              <w:rFonts w:ascii="Arial" w:hAnsi="Arial" w:cs="Arial"/>
              <w:sz w:val="16"/>
              <w:szCs w:val="16"/>
              <w:lang w:val="es-ES"/>
            </w:rPr>
            <w:tab/>
          </w:r>
        </w:p>
        <w:p w14:paraId="5906774C" w14:textId="3698917A" w:rsidR="0000481A" w:rsidRPr="00533B7E" w:rsidRDefault="0000481A" w:rsidP="0000481A">
          <w:pPr>
            <w:pStyle w:val="TDC2"/>
            <w:tabs>
              <w:tab w:val="right" w:leader="dot" w:pos="9678"/>
            </w:tabs>
            <w:rPr>
              <w:rFonts w:ascii="Arial" w:hAnsi="Arial" w:cs="Arial"/>
              <w:noProof/>
              <w:sz w:val="16"/>
              <w:szCs w:val="16"/>
            </w:rPr>
          </w:pPr>
          <w:r w:rsidRPr="00533B7E">
            <w:rPr>
              <w:rFonts w:ascii="Arial" w:hAnsi="Arial" w:cs="Arial"/>
              <w:sz w:val="16"/>
              <w:szCs w:val="16"/>
            </w:rPr>
            <w:fldChar w:fldCharType="begin"/>
          </w:r>
          <w:r w:rsidRPr="00533B7E">
            <w:rPr>
              <w:rFonts w:ascii="Arial" w:hAnsi="Arial" w:cs="Arial"/>
              <w:sz w:val="16"/>
              <w:szCs w:val="16"/>
            </w:rPr>
            <w:instrText xml:space="preserve"> TOC \o "1-3" \h \z \u </w:instrText>
          </w:r>
          <w:r w:rsidRPr="00533B7E">
            <w:rPr>
              <w:rFonts w:ascii="Arial" w:hAnsi="Arial" w:cs="Arial"/>
              <w:sz w:val="16"/>
              <w:szCs w:val="16"/>
            </w:rPr>
            <w:fldChar w:fldCharType="separate"/>
          </w:r>
          <w:hyperlink w:anchor="_Toc508279621" w:history="1">
            <w:r w:rsidRPr="00533B7E">
              <w:rPr>
                <w:rStyle w:val="Hipervnculo"/>
                <w:rFonts w:ascii="Arial" w:hAnsi="Arial" w:cs="Arial"/>
                <w:noProof/>
                <w:sz w:val="16"/>
                <w:szCs w:val="16"/>
              </w:rPr>
              <w:t>1. Introducción:</w:t>
            </w:r>
            <w:r w:rsidRPr="00533B7E">
              <w:rPr>
                <w:rFonts w:ascii="Arial" w:hAnsi="Arial" w:cs="Arial"/>
                <w:noProof/>
                <w:webHidden/>
                <w:sz w:val="16"/>
                <w:szCs w:val="16"/>
              </w:rPr>
              <w:tab/>
            </w:r>
          </w:hyperlink>
          <w:r w:rsidR="00867E33">
            <w:rPr>
              <w:rFonts w:ascii="Arial" w:hAnsi="Arial" w:cs="Arial"/>
              <w:noProof/>
              <w:sz w:val="16"/>
              <w:szCs w:val="16"/>
            </w:rPr>
            <w:t>1</w:t>
          </w:r>
        </w:p>
        <w:p w14:paraId="681B9751" w14:textId="1611D7DB" w:rsidR="0000481A" w:rsidRPr="00533B7E" w:rsidRDefault="0000481A" w:rsidP="0000481A">
          <w:pPr>
            <w:pStyle w:val="TDC2"/>
            <w:tabs>
              <w:tab w:val="right" w:leader="dot" w:pos="9678"/>
            </w:tabs>
            <w:rPr>
              <w:rFonts w:ascii="Arial" w:hAnsi="Arial" w:cs="Arial"/>
              <w:noProof/>
              <w:sz w:val="16"/>
              <w:szCs w:val="16"/>
            </w:rPr>
          </w:pPr>
          <w:hyperlink w:anchor="_Toc508279622" w:history="1">
            <w:r w:rsidRPr="00533B7E">
              <w:rPr>
                <w:rStyle w:val="Hipervnculo"/>
                <w:rFonts w:ascii="Arial" w:hAnsi="Arial" w:cs="Arial"/>
                <w:noProof/>
                <w:sz w:val="16"/>
                <w:szCs w:val="16"/>
              </w:rPr>
              <w:t>2. Describir el panorama Económico y Financiero:</w:t>
            </w:r>
            <w:r w:rsidRPr="00533B7E">
              <w:rPr>
                <w:rFonts w:ascii="Arial" w:hAnsi="Arial" w:cs="Arial"/>
                <w:noProof/>
                <w:webHidden/>
                <w:sz w:val="16"/>
                <w:szCs w:val="16"/>
              </w:rPr>
              <w:tab/>
            </w:r>
          </w:hyperlink>
          <w:r w:rsidR="00867E33">
            <w:rPr>
              <w:rFonts w:ascii="Arial" w:hAnsi="Arial" w:cs="Arial"/>
              <w:noProof/>
              <w:sz w:val="16"/>
              <w:szCs w:val="16"/>
            </w:rPr>
            <w:t>1</w:t>
          </w:r>
        </w:p>
        <w:p w14:paraId="0588F02C" w14:textId="45929A91" w:rsidR="0000481A" w:rsidRPr="00533B7E" w:rsidRDefault="0000481A" w:rsidP="0000481A">
          <w:pPr>
            <w:pStyle w:val="TDC2"/>
            <w:tabs>
              <w:tab w:val="right" w:leader="dot" w:pos="9678"/>
            </w:tabs>
            <w:rPr>
              <w:rFonts w:ascii="Arial" w:hAnsi="Arial" w:cs="Arial"/>
              <w:noProof/>
              <w:sz w:val="16"/>
              <w:szCs w:val="16"/>
            </w:rPr>
          </w:pPr>
          <w:hyperlink w:anchor="_Toc508279623" w:history="1">
            <w:r w:rsidRPr="00533B7E">
              <w:rPr>
                <w:rStyle w:val="Hipervnculo"/>
                <w:rFonts w:ascii="Arial" w:hAnsi="Arial" w:cs="Arial"/>
                <w:noProof/>
                <w:sz w:val="16"/>
                <w:szCs w:val="16"/>
              </w:rPr>
              <w:t>3. Autorización e Historia:</w:t>
            </w:r>
            <w:r w:rsidRPr="00533B7E">
              <w:rPr>
                <w:rFonts w:ascii="Arial" w:hAnsi="Arial" w:cs="Arial"/>
                <w:noProof/>
                <w:webHidden/>
                <w:sz w:val="16"/>
                <w:szCs w:val="16"/>
              </w:rPr>
              <w:tab/>
            </w:r>
          </w:hyperlink>
          <w:r w:rsidR="00867E33">
            <w:rPr>
              <w:rFonts w:ascii="Arial" w:hAnsi="Arial" w:cs="Arial"/>
              <w:noProof/>
              <w:sz w:val="16"/>
              <w:szCs w:val="16"/>
            </w:rPr>
            <w:t>2</w:t>
          </w:r>
        </w:p>
        <w:p w14:paraId="7172711E" w14:textId="24407462" w:rsidR="0000481A" w:rsidRPr="00533B7E" w:rsidRDefault="0000481A" w:rsidP="0000481A">
          <w:pPr>
            <w:pStyle w:val="TDC2"/>
            <w:tabs>
              <w:tab w:val="right" w:leader="dot" w:pos="9678"/>
            </w:tabs>
            <w:rPr>
              <w:rFonts w:ascii="Arial" w:hAnsi="Arial" w:cs="Arial"/>
              <w:noProof/>
              <w:sz w:val="16"/>
              <w:szCs w:val="16"/>
            </w:rPr>
          </w:pPr>
          <w:hyperlink w:anchor="_Toc508279624" w:history="1">
            <w:r w:rsidRPr="00533B7E">
              <w:rPr>
                <w:rStyle w:val="Hipervnculo"/>
                <w:rFonts w:ascii="Arial" w:hAnsi="Arial" w:cs="Arial"/>
                <w:noProof/>
                <w:sz w:val="16"/>
                <w:szCs w:val="16"/>
              </w:rPr>
              <w:t>4. Organización y Objeto Social:</w:t>
            </w:r>
            <w:r w:rsidRPr="00533B7E">
              <w:rPr>
                <w:rFonts w:ascii="Arial" w:hAnsi="Arial" w:cs="Arial"/>
                <w:noProof/>
                <w:webHidden/>
                <w:sz w:val="16"/>
                <w:szCs w:val="16"/>
              </w:rPr>
              <w:tab/>
            </w:r>
          </w:hyperlink>
          <w:r w:rsidR="00867E33">
            <w:rPr>
              <w:rFonts w:ascii="Arial" w:hAnsi="Arial" w:cs="Arial"/>
              <w:noProof/>
              <w:sz w:val="16"/>
              <w:szCs w:val="16"/>
            </w:rPr>
            <w:t>2</w:t>
          </w:r>
        </w:p>
        <w:p w14:paraId="4E6A8163" w14:textId="57BDA6EC" w:rsidR="0000481A" w:rsidRPr="00533B7E" w:rsidRDefault="0000481A" w:rsidP="0000481A">
          <w:pPr>
            <w:pStyle w:val="TDC2"/>
            <w:tabs>
              <w:tab w:val="right" w:leader="dot" w:pos="9678"/>
            </w:tabs>
            <w:rPr>
              <w:rFonts w:ascii="Arial" w:hAnsi="Arial" w:cs="Arial"/>
              <w:noProof/>
              <w:sz w:val="16"/>
              <w:szCs w:val="16"/>
            </w:rPr>
          </w:pPr>
          <w:hyperlink w:anchor="_Toc508279625" w:history="1">
            <w:r w:rsidRPr="00533B7E">
              <w:rPr>
                <w:rStyle w:val="Hipervnculo"/>
                <w:rFonts w:ascii="Arial" w:hAnsi="Arial" w:cs="Arial"/>
                <w:noProof/>
                <w:sz w:val="16"/>
                <w:szCs w:val="16"/>
              </w:rPr>
              <w:t>5. Bases de Preparación de los Estados Financieros:</w:t>
            </w:r>
            <w:r w:rsidRPr="00533B7E">
              <w:rPr>
                <w:rFonts w:ascii="Arial" w:hAnsi="Arial" w:cs="Arial"/>
                <w:noProof/>
                <w:webHidden/>
                <w:sz w:val="16"/>
                <w:szCs w:val="16"/>
              </w:rPr>
              <w:tab/>
            </w:r>
          </w:hyperlink>
          <w:r w:rsidR="00867E33">
            <w:rPr>
              <w:rFonts w:ascii="Arial" w:hAnsi="Arial" w:cs="Arial"/>
              <w:noProof/>
              <w:sz w:val="16"/>
              <w:szCs w:val="16"/>
            </w:rPr>
            <w:t>3</w:t>
          </w:r>
        </w:p>
        <w:p w14:paraId="66F2859C" w14:textId="21B984FA" w:rsidR="0000481A" w:rsidRPr="00533B7E" w:rsidRDefault="0000481A" w:rsidP="0000481A">
          <w:pPr>
            <w:pStyle w:val="TDC2"/>
            <w:tabs>
              <w:tab w:val="right" w:leader="dot" w:pos="9678"/>
            </w:tabs>
            <w:rPr>
              <w:rFonts w:ascii="Arial" w:hAnsi="Arial" w:cs="Arial"/>
              <w:noProof/>
              <w:sz w:val="16"/>
              <w:szCs w:val="16"/>
            </w:rPr>
          </w:pPr>
          <w:hyperlink w:anchor="_Toc508279626" w:history="1">
            <w:r w:rsidRPr="00533B7E">
              <w:rPr>
                <w:rStyle w:val="Hipervnculo"/>
                <w:rFonts w:ascii="Arial" w:hAnsi="Arial" w:cs="Arial"/>
                <w:noProof/>
                <w:sz w:val="16"/>
                <w:szCs w:val="16"/>
              </w:rPr>
              <w:t>6. Políticas de Contabilidad Significativas:</w:t>
            </w:r>
            <w:r w:rsidRPr="00533B7E">
              <w:rPr>
                <w:rFonts w:ascii="Arial" w:hAnsi="Arial" w:cs="Arial"/>
                <w:noProof/>
                <w:webHidden/>
                <w:sz w:val="16"/>
                <w:szCs w:val="16"/>
              </w:rPr>
              <w:tab/>
            </w:r>
          </w:hyperlink>
          <w:r w:rsidR="00867E33">
            <w:rPr>
              <w:rFonts w:ascii="Arial" w:hAnsi="Arial" w:cs="Arial"/>
              <w:noProof/>
              <w:sz w:val="16"/>
              <w:szCs w:val="16"/>
            </w:rPr>
            <w:t>4</w:t>
          </w:r>
        </w:p>
        <w:p w14:paraId="00FC98ED" w14:textId="652F2B1B" w:rsidR="0000481A" w:rsidRPr="00533B7E" w:rsidRDefault="0000481A" w:rsidP="0000481A">
          <w:pPr>
            <w:pStyle w:val="TDC2"/>
            <w:tabs>
              <w:tab w:val="right" w:leader="dot" w:pos="9678"/>
            </w:tabs>
            <w:rPr>
              <w:rFonts w:ascii="Arial" w:hAnsi="Arial" w:cs="Arial"/>
              <w:noProof/>
              <w:sz w:val="16"/>
              <w:szCs w:val="16"/>
            </w:rPr>
          </w:pPr>
          <w:hyperlink w:anchor="_Toc508279627" w:history="1">
            <w:r w:rsidRPr="00533B7E">
              <w:rPr>
                <w:rStyle w:val="Hipervnculo"/>
                <w:rFonts w:ascii="Arial" w:hAnsi="Arial" w:cs="Arial"/>
                <w:noProof/>
                <w:sz w:val="16"/>
                <w:szCs w:val="16"/>
              </w:rPr>
              <w:t>7. Posición en Moneda Extranjera y Protección por Riesgo Cambiario:</w:t>
            </w:r>
            <w:r w:rsidRPr="00533B7E">
              <w:rPr>
                <w:rFonts w:ascii="Arial" w:hAnsi="Arial" w:cs="Arial"/>
                <w:noProof/>
                <w:webHidden/>
                <w:sz w:val="16"/>
                <w:szCs w:val="16"/>
              </w:rPr>
              <w:tab/>
            </w:r>
          </w:hyperlink>
          <w:r w:rsidR="00867E33">
            <w:rPr>
              <w:rFonts w:ascii="Arial" w:hAnsi="Arial" w:cs="Arial"/>
              <w:noProof/>
              <w:sz w:val="16"/>
              <w:szCs w:val="16"/>
            </w:rPr>
            <w:t>5</w:t>
          </w:r>
        </w:p>
        <w:p w14:paraId="75837B1C" w14:textId="5D95A52A" w:rsidR="0000481A" w:rsidRPr="00533B7E" w:rsidRDefault="0000481A" w:rsidP="0000481A">
          <w:pPr>
            <w:pStyle w:val="TDC2"/>
            <w:tabs>
              <w:tab w:val="right" w:leader="dot" w:pos="9678"/>
            </w:tabs>
            <w:rPr>
              <w:rFonts w:ascii="Arial" w:hAnsi="Arial" w:cs="Arial"/>
              <w:noProof/>
              <w:sz w:val="16"/>
              <w:szCs w:val="16"/>
            </w:rPr>
          </w:pPr>
          <w:hyperlink w:anchor="_Toc508279628" w:history="1">
            <w:r w:rsidRPr="00533B7E">
              <w:rPr>
                <w:rStyle w:val="Hipervnculo"/>
                <w:rFonts w:ascii="Arial" w:hAnsi="Arial" w:cs="Arial"/>
                <w:noProof/>
                <w:sz w:val="16"/>
                <w:szCs w:val="16"/>
              </w:rPr>
              <w:t>8. Reporte Analítico del Activo:</w:t>
            </w:r>
            <w:r w:rsidRPr="00533B7E">
              <w:rPr>
                <w:rFonts w:ascii="Arial" w:hAnsi="Arial" w:cs="Arial"/>
                <w:noProof/>
                <w:webHidden/>
                <w:sz w:val="16"/>
                <w:szCs w:val="16"/>
              </w:rPr>
              <w:tab/>
            </w:r>
          </w:hyperlink>
          <w:r w:rsidR="00867E33">
            <w:rPr>
              <w:rFonts w:ascii="Arial" w:hAnsi="Arial" w:cs="Arial"/>
              <w:noProof/>
              <w:sz w:val="16"/>
              <w:szCs w:val="16"/>
            </w:rPr>
            <w:t>6</w:t>
          </w:r>
        </w:p>
        <w:p w14:paraId="5016D829" w14:textId="50EE2DD9" w:rsidR="0000481A" w:rsidRPr="00533B7E" w:rsidRDefault="0000481A" w:rsidP="0000481A">
          <w:pPr>
            <w:pStyle w:val="TDC2"/>
            <w:tabs>
              <w:tab w:val="right" w:leader="dot" w:pos="9678"/>
            </w:tabs>
            <w:rPr>
              <w:rFonts w:ascii="Arial" w:hAnsi="Arial" w:cs="Arial"/>
              <w:noProof/>
              <w:sz w:val="16"/>
              <w:szCs w:val="16"/>
            </w:rPr>
          </w:pPr>
          <w:hyperlink w:anchor="_Toc508279629" w:history="1">
            <w:r w:rsidRPr="00533B7E">
              <w:rPr>
                <w:rStyle w:val="Hipervnculo"/>
                <w:rFonts w:ascii="Arial" w:hAnsi="Arial" w:cs="Arial"/>
                <w:noProof/>
                <w:sz w:val="16"/>
                <w:szCs w:val="16"/>
              </w:rPr>
              <w:t>9. Fideicomisos, Mandatos y Análogos:</w:t>
            </w:r>
            <w:r w:rsidRPr="00533B7E">
              <w:rPr>
                <w:rFonts w:ascii="Arial" w:hAnsi="Arial" w:cs="Arial"/>
                <w:noProof/>
                <w:webHidden/>
                <w:sz w:val="16"/>
                <w:szCs w:val="16"/>
              </w:rPr>
              <w:tab/>
            </w:r>
          </w:hyperlink>
          <w:r w:rsidR="00867E33">
            <w:rPr>
              <w:rFonts w:ascii="Arial" w:hAnsi="Arial" w:cs="Arial"/>
              <w:noProof/>
              <w:sz w:val="16"/>
              <w:szCs w:val="16"/>
            </w:rPr>
            <w:t>7</w:t>
          </w:r>
        </w:p>
        <w:p w14:paraId="176F6CFF" w14:textId="5C61C5C2" w:rsidR="0000481A" w:rsidRPr="00533B7E" w:rsidRDefault="0000481A" w:rsidP="0000481A">
          <w:pPr>
            <w:pStyle w:val="TDC2"/>
            <w:tabs>
              <w:tab w:val="right" w:leader="dot" w:pos="9678"/>
            </w:tabs>
            <w:rPr>
              <w:rFonts w:ascii="Arial" w:hAnsi="Arial" w:cs="Arial"/>
              <w:noProof/>
              <w:sz w:val="16"/>
              <w:szCs w:val="16"/>
            </w:rPr>
          </w:pPr>
          <w:hyperlink w:anchor="_Toc508279630" w:history="1">
            <w:r w:rsidRPr="00533B7E">
              <w:rPr>
                <w:rStyle w:val="Hipervnculo"/>
                <w:rFonts w:ascii="Arial" w:hAnsi="Arial" w:cs="Arial"/>
                <w:noProof/>
                <w:sz w:val="16"/>
                <w:szCs w:val="16"/>
              </w:rPr>
              <w:t>10. Reporte de la Recaudación:</w:t>
            </w:r>
            <w:r w:rsidRPr="00533B7E">
              <w:rPr>
                <w:rFonts w:ascii="Arial" w:hAnsi="Arial" w:cs="Arial"/>
                <w:noProof/>
                <w:webHidden/>
                <w:sz w:val="16"/>
                <w:szCs w:val="16"/>
              </w:rPr>
              <w:tab/>
            </w:r>
          </w:hyperlink>
          <w:r w:rsidR="00867E33">
            <w:rPr>
              <w:rFonts w:ascii="Arial" w:hAnsi="Arial" w:cs="Arial"/>
              <w:noProof/>
              <w:sz w:val="16"/>
              <w:szCs w:val="16"/>
            </w:rPr>
            <w:t>7</w:t>
          </w:r>
        </w:p>
        <w:p w14:paraId="28B52CC8" w14:textId="2DEC7AD8" w:rsidR="0000481A" w:rsidRPr="00533B7E" w:rsidRDefault="0000481A" w:rsidP="0000481A">
          <w:pPr>
            <w:pStyle w:val="TDC2"/>
            <w:tabs>
              <w:tab w:val="right" w:leader="dot" w:pos="9678"/>
            </w:tabs>
            <w:rPr>
              <w:rFonts w:ascii="Arial" w:hAnsi="Arial" w:cs="Arial"/>
              <w:noProof/>
              <w:sz w:val="16"/>
              <w:szCs w:val="16"/>
            </w:rPr>
          </w:pPr>
          <w:hyperlink w:anchor="_Toc508279631" w:history="1">
            <w:r w:rsidRPr="00533B7E">
              <w:rPr>
                <w:rStyle w:val="Hipervnculo"/>
                <w:rFonts w:ascii="Arial" w:hAnsi="Arial" w:cs="Arial"/>
                <w:noProof/>
                <w:sz w:val="16"/>
                <w:szCs w:val="16"/>
              </w:rPr>
              <w:t>11. Información sobre la Deuda y el Reporte Analítico de la Deuda:</w:t>
            </w:r>
            <w:r w:rsidRPr="00533B7E">
              <w:rPr>
                <w:rFonts w:ascii="Arial" w:hAnsi="Arial" w:cs="Arial"/>
                <w:noProof/>
                <w:webHidden/>
                <w:sz w:val="16"/>
                <w:szCs w:val="16"/>
              </w:rPr>
              <w:tab/>
            </w:r>
          </w:hyperlink>
          <w:r w:rsidR="00867E33">
            <w:rPr>
              <w:rFonts w:ascii="Arial" w:hAnsi="Arial" w:cs="Arial"/>
              <w:noProof/>
              <w:sz w:val="16"/>
              <w:szCs w:val="16"/>
            </w:rPr>
            <w:t>7</w:t>
          </w:r>
        </w:p>
        <w:p w14:paraId="4983CCB2" w14:textId="6431825D" w:rsidR="0000481A" w:rsidRPr="00533B7E" w:rsidRDefault="0000481A" w:rsidP="0000481A">
          <w:pPr>
            <w:pStyle w:val="TDC2"/>
            <w:tabs>
              <w:tab w:val="right" w:leader="dot" w:pos="9678"/>
            </w:tabs>
            <w:rPr>
              <w:rFonts w:ascii="Arial" w:hAnsi="Arial" w:cs="Arial"/>
              <w:noProof/>
              <w:sz w:val="16"/>
              <w:szCs w:val="16"/>
            </w:rPr>
          </w:pPr>
          <w:hyperlink w:anchor="_Toc508279632" w:history="1">
            <w:r w:rsidRPr="00533B7E">
              <w:rPr>
                <w:rStyle w:val="Hipervnculo"/>
                <w:rFonts w:ascii="Arial" w:hAnsi="Arial" w:cs="Arial"/>
                <w:noProof/>
                <w:sz w:val="16"/>
                <w:szCs w:val="16"/>
              </w:rPr>
              <w:t>12. Calificaciones otorgadas:</w:t>
            </w:r>
            <w:r w:rsidRPr="00533B7E">
              <w:rPr>
                <w:rFonts w:ascii="Arial" w:hAnsi="Arial" w:cs="Arial"/>
                <w:noProof/>
                <w:webHidden/>
                <w:sz w:val="16"/>
                <w:szCs w:val="16"/>
              </w:rPr>
              <w:tab/>
            </w:r>
          </w:hyperlink>
          <w:r w:rsidR="00867E33">
            <w:rPr>
              <w:rFonts w:ascii="Arial" w:hAnsi="Arial" w:cs="Arial"/>
              <w:noProof/>
              <w:sz w:val="16"/>
              <w:szCs w:val="16"/>
            </w:rPr>
            <w:t>7</w:t>
          </w:r>
        </w:p>
        <w:p w14:paraId="6050B2E9" w14:textId="5A631814" w:rsidR="0000481A" w:rsidRPr="00533B7E" w:rsidRDefault="0000481A" w:rsidP="0000481A">
          <w:pPr>
            <w:pStyle w:val="TDC2"/>
            <w:tabs>
              <w:tab w:val="right" w:leader="dot" w:pos="9678"/>
            </w:tabs>
            <w:rPr>
              <w:rFonts w:ascii="Arial" w:hAnsi="Arial" w:cs="Arial"/>
              <w:noProof/>
              <w:sz w:val="16"/>
              <w:szCs w:val="16"/>
            </w:rPr>
          </w:pPr>
          <w:hyperlink w:anchor="_Toc508279633" w:history="1">
            <w:r w:rsidRPr="00533B7E">
              <w:rPr>
                <w:rStyle w:val="Hipervnculo"/>
                <w:rFonts w:ascii="Arial" w:hAnsi="Arial" w:cs="Arial"/>
                <w:noProof/>
                <w:sz w:val="16"/>
                <w:szCs w:val="16"/>
              </w:rPr>
              <w:t>13. Proceso de Mejora:</w:t>
            </w:r>
            <w:r w:rsidRPr="00533B7E">
              <w:rPr>
                <w:rFonts w:ascii="Arial" w:hAnsi="Arial" w:cs="Arial"/>
                <w:noProof/>
                <w:webHidden/>
                <w:sz w:val="16"/>
                <w:szCs w:val="16"/>
              </w:rPr>
              <w:tab/>
            </w:r>
          </w:hyperlink>
          <w:r w:rsidR="00867E33">
            <w:rPr>
              <w:rFonts w:ascii="Arial" w:hAnsi="Arial" w:cs="Arial"/>
              <w:noProof/>
              <w:sz w:val="16"/>
              <w:szCs w:val="16"/>
            </w:rPr>
            <w:t>7</w:t>
          </w:r>
        </w:p>
        <w:p w14:paraId="12EC8437" w14:textId="269F9F7E" w:rsidR="0000481A" w:rsidRPr="00533B7E" w:rsidRDefault="0000481A" w:rsidP="0000481A">
          <w:pPr>
            <w:pStyle w:val="TDC2"/>
            <w:tabs>
              <w:tab w:val="right" w:leader="dot" w:pos="9678"/>
            </w:tabs>
            <w:rPr>
              <w:rFonts w:ascii="Arial" w:hAnsi="Arial" w:cs="Arial"/>
              <w:noProof/>
              <w:sz w:val="16"/>
              <w:szCs w:val="16"/>
            </w:rPr>
          </w:pPr>
          <w:hyperlink w:anchor="_Toc508279634" w:history="1">
            <w:r w:rsidRPr="00533B7E">
              <w:rPr>
                <w:rStyle w:val="Hipervnculo"/>
                <w:rFonts w:ascii="Arial" w:hAnsi="Arial" w:cs="Arial"/>
                <w:noProof/>
                <w:sz w:val="16"/>
                <w:szCs w:val="16"/>
              </w:rPr>
              <w:t>14. Información por Segmentos:</w:t>
            </w:r>
            <w:r w:rsidRPr="00533B7E">
              <w:rPr>
                <w:rFonts w:ascii="Arial" w:hAnsi="Arial" w:cs="Arial"/>
                <w:noProof/>
                <w:webHidden/>
                <w:sz w:val="16"/>
                <w:szCs w:val="16"/>
              </w:rPr>
              <w:tab/>
            </w:r>
          </w:hyperlink>
          <w:r w:rsidR="00867E33">
            <w:rPr>
              <w:rFonts w:ascii="Arial" w:hAnsi="Arial" w:cs="Arial"/>
              <w:noProof/>
              <w:sz w:val="16"/>
              <w:szCs w:val="16"/>
            </w:rPr>
            <w:t>7</w:t>
          </w:r>
        </w:p>
        <w:p w14:paraId="1698F738" w14:textId="54B671A6" w:rsidR="0000481A" w:rsidRPr="00533B7E" w:rsidRDefault="0000481A" w:rsidP="0000481A">
          <w:pPr>
            <w:pStyle w:val="TDC2"/>
            <w:tabs>
              <w:tab w:val="right" w:leader="dot" w:pos="9678"/>
            </w:tabs>
            <w:rPr>
              <w:rFonts w:ascii="Arial" w:hAnsi="Arial" w:cs="Arial"/>
              <w:noProof/>
              <w:sz w:val="16"/>
              <w:szCs w:val="16"/>
            </w:rPr>
          </w:pPr>
          <w:hyperlink w:anchor="_Toc508279635" w:history="1">
            <w:r w:rsidRPr="00533B7E">
              <w:rPr>
                <w:rStyle w:val="Hipervnculo"/>
                <w:rFonts w:ascii="Arial" w:hAnsi="Arial" w:cs="Arial"/>
                <w:noProof/>
                <w:sz w:val="16"/>
                <w:szCs w:val="16"/>
              </w:rPr>
              <w:t>15. Eventos Posteriores al Cierre:</w:t>
            </w:r>
            <w:r w:rsidRPr="00533B7E">
              <w:rPr>
                <w:rFonts w:ascii="Arial" w:hAnsi="Arial" w:cs="Arial"/>
                <w:noProof/>
                <w:webHidden/>
                <w:sz w:val="16"/>
                <w:szCs w:val="16"/>
              </w:rPr>
              <w:tab/>
            </w:r>
          </w:hyperlink>
          <w:r w:rsidR="00867E33">
            <w:rPr>
              <w:rFonts w:ascii="Arial" w:hAnsi="Arial" w:cs="Arial"/>
              <w:noProof/>
              <w:sz w:val="16"/>
              <w:szCs w:val="16"/>
            </w:rPr>
            <w:t>8</w:t>
          </w:r>
        </w:p>
        <w:p w14:paraId="0550CC88" w14:textId="7632D514" w:rsidR="0000481A" w:rsidRPr="00533B7E" w:rsidRDefault="0000481A" w:rsidP="0000481A">
          <w:pPr>
            <w:pStyle w:val="TDC2"/>
            <w:tabs>
              <w:tab w:val="right" w:leader="dot" w:pos="9678"/>
            </w:tabs>
            <w:rPr>
              <w:rFonts w:ascii="Arial" w:hAnsi="Arial" w:cs="Arial"/>
              <w:noProof/>
              <w:sz w:val="16"/>
              <w:szCs w:val="16"/>
            </w:rPr>
          </w:pPr>
          <w:hyperlink w:anchor="_Toc508279636" w:history="1">
            <w:r w:rsidRPr="00533B7E">
              <w:rPr>
                <w:rStyle w:val="Hipervnculo"/>
                <w:rFonts w:ascii="Arial" w:hAnsi="Arial" w:cs="Arial"/>
                <w:noProof/>
                <w:sz w:val="16"/>
                <w:szCs w:val="16"/>
              </w:rPr>
              <w:t>16. Partes Relacionadas:</w:t>
            </w:r>
            <w:r w:rsidRPr="00533B7E">
              <w:rPr>
                <w:rFonts w:ascii="Arial" w:hAnsi="Arial" w:cs="Arial"/>
                <w:noProof/>
                <w:webHidden/>
                <w:sz w:val="16"/>
                <w:szCs w:val="16"/>
              </w:rPr>
              <w:tab/>
            </w:r>
          </w:hyperlink>
          <w:r w:rsidR="00867E33">
            <w:rPr>
              <w:rFonts w:ascii="Arial" w:hAnsi="Arial" w:cs="Arial"/>
              <w:noProof/>
              <w:sz w:val="16"/>
              <w:szCs w:val="16"/>
            </w:rPr>
            <w:t>8</w:t>
          </w:r>
        </w:p>
        <w:p w14:paraId="07C31ED4" w14:textId="17255010" w:rsidR="0000481A" w:rsidRPr="00533B7E" w:rsidRDefault="0000481A" w:rsidP="0000481A">
          <w:pPr>
            <w:pStyle w:val="TDC2"/>
            <w:tabs>
              <w:tab w:val="right" w:leader="dot" w:pos="9678"/>
            </w:tabs>
            <w:rPr>
              <w:rFonts w:ascii="Arial" w:hAnsi="Arial" w:cs="Arial"/>
              <w:noProof/>
              <w:sz w:val="16"/>
              <w:szCs w:val="16"/>
            </w:rPr>
          </w:pPr>
          <w:hyperlink w:anchor="_Toc508279637" w:history="1">
            <w:r w:rsidRPr="00533B7E">
              <w:rPr>
                <w:rStyle w:val="Hipervnculo"/>
                <w:rFonts w:ascii="Arial" w:hAnsi="Arial" w:cs="Arial"/>
                <w:noProof/>
                <w:sz w:val="16"/>
                <w:szCs w:val="16"/>
              </w:rPr>
              <w:t>17. Responsabilidad Sobre la Presentación Razonable de la Información Contable:</w:t>
            </w:r>
            <w:r w:rsidRPr="00533B7E">
              <w:rPr>
                <w:rFonts w:ascii="Arial" w:hAnsi="Arial" w:cs="Arial"/>
                <w:noProof/>
                <w:webHidden/>
                <w:sz w:val="16"/>
                <w:szCs w:val="16"/>
              </w:rPr>
              <w:tab/>
            </w:r>
          </w:hyperlink>
          <w:r w:rsidR="00867E33">
            <w:rPr>
              <w:rFonts w:ascii="Arial" w:hAnsi="Arial" w:cs="Arial"/>
              <w:noProof/>
              <w:sz w:val="16"/>
              <w:szCs w:val="16"/>
            </w:rPr>
            <w:t>8</w:t>
          </w:r>
        </w:p>
        <w:p w14:paraId="429C3F26" w14:textId="756B0CCA" w:rsidR="0000481A" w:rsidRPr="00533B7E" w:rsidRDefault="0000481A" w:rsidP="008847C6">
          <w:pPr>
            <w:rPr>
              <w:rFonts w:ascii="Arial" w:hAnsi="Arial" w:cs="Arial"/>
              <w:sz w:val="16"/>
              <w:szCs w:val="16"/>
            </w:rPr>
          </w:pPr>
          <w:r w:rsidRPr="00533B7E">
            <w:rPr>
              <w:rFonts w:ascii="Arial" w:hAnsi="Arial" w:cs="Arial"/>
              <w:b/>
              <w:bCs/>
              <w:sz w:val="16"/>
              <w:szCs w:val="16"/>
              <w:lang w:val="es-ES"/>
            </w:rPr>
            <w:fldChar w:fldCharType="end"/>
          </w:r>
        </w:p>
      </w:sdtContent>
    </w:sdt>
    <w:p w14:paraId="19D2D5BA" w14:textId="77777777" w:rsidR="00713AB1" w:rsidRDefault="00713AB1" w:rsidP="0000481A">
      <w:pPr>
        <w:pStyle w:val="Ttulo2"/>
        <w:rPr>
          <w:rFonts w:ascii="Arial" w:hAnsi="Arial" w:cs="Arial"/>
          <w:b/>
          <w:color w:val="auto"/>
          <w:sz w:val="16"/>
          <w:szCs w:val="16"/>
        </w:rPr>
      </w:pPr>
    </w:p>
    <w:p w14:paraId="7F2F6546" w14:textId="5601B03C"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 Introducción:</w:t>
      </w:r>
    </w:p>
    <w:p w14:paraId="584D31C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Breve descripción de las actividades principales de la entidad.</w:t>
      </w:r>
    </w:p>
    <w:p w14:paraId="247B892B" w14:textId="77777777" w:rsidR="0000481A" w:rsidRPr="00533B7E" w:rsidRDefault="0000481A" w:rsidP="0000481A">
      <w:pPr>
        <w:spacing w:after="0" w:line="240" w:lineRule="auto"/>
        <w:jc w:val="both"/>
        <w:rPr>
          <w:rFonts w:ascii="Arial" w:hAnsi="Arial" w:cs="Arial"/>
          <w:sz w:val="16"/>
          <w:szCs w:val="16"/>
        </w:rPr>
      </w:pPr>
    </w:p>
    <w:p w14:paraId="324A0359"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Agricultura, comercio, ganadería, turismo y pequeña industria.</w:t>
      </w:r>
    </w:p>
    <w:p w14:paraId="5C6F472B"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r w:rsidRPr="00533B7E">
        <w:rPr>
          <w:rFonts w:ascii="Arial" w:hAnsi="Arial" w:cs="Arial"/>
          <w:sz w:val="16"/>
          <w:szCs w:val="16"/>
        </w:rPr>
        <w:tab/>
      </w:r>
      <w:r w:rsidRPr="00533B7E">
        <w:rPr>
          <w:rFonts w:ascii="Arial" w:hAnsi="Arial" w:cs="Arial"/>
          <w:sz w:val="16"/>
          <w:szCs w:val="16"/>
        </w:rPr>
        <w:tab/>
      </w:r>
    </w:p>
    <w:p w14:paraId="340A34A8"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2. Describir el panorama Económico y Financiero:</w:t>
      </w:r>
    </w:p>
    <w:p w14:paraId="0692EA6D" w14:textId="420EED63"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Se informará sobre las principales condiciones económico-financieras bajo las cuales el ente público estuvo operando; y las cuales influyeron en la toma de decisiones de la administración; tanto a nivel local como federal.</w:t>
      </w:r>
      <w:r w:rsidRPr="00533B7E">
        <w:rPr>
          <w:rFonts w:ascii="Arial" w:hAnsi="Arial" w:cs="Arial"/>
          <w:sz w:val="16"/>
          <w:szCs w:val="16"/>
        </w:rPr>
        <w:br/>
      </w:r>
      <w:r w:rsidRPr="00533B7E">
        <w:rPr>
          <w:rFonts w:ascii="Arial" w:hAnsi="Arial" w:cs="Arial"/>
          <w:sz w:val="16"/>
          <w:szCs w:val="16"/>
        </w:rPr>
        <w:br/>
        <w:t>La complejidad del entorno económico prevaleciente en el ámbito internacional influye invariablemente en las finanzas públicas del país en todos los órdenes de gobierno, demandando un ejercicio responsable en la formulación y distribución del gasto público. En el ejercicio 20</w:t>
      </w:r>
      <w:r>
        <w:rPr>
          <w:rFonts w:ascii="Arial" w:hAnsi="Arial" w:cs="Arial"/>
          <w:sz w:val="16"/>
          <w:szCs w:val="16"/>
        </w:rPr>
        <w:t>2</w:t>
      </w:r>
      <w:r w:rsidR="00CA55B5">
        <w:rPr>
          <w:rFonts w:ascii="Arial" w:hAnsi="Arial" w:cs="Arial"/>
          <w:sz w:val="16"/>
          <w:szCs w:val="16"/>
        </w:rPr>
        <w:t>1</w:t>
      </w:r>
      <w:r w:rsidRPr="00533B7E">
        <w:rPr>
          <w:rFonts w:ascii="Arial" w:hAnsi="Arial" w:cs="Arial"/>
          <w:sz w:val="16"/>
          <w:szCs w:val="16"/>
        </w:rPr>
        <w:t xml:space="preserve"> se propone un presupuesto de egresos que contribuye a la racionalización de los recursos, pero orientado a la satisfacción de las demandas sociales para mantener siempre finanzas públicas sanas.</w:t>
      </w:r>
    </w:p>
    <w:p w14:paraId="4D37FF76" w14:textId="77777777" w:rsidR="0000481A" w:rsidRPr="00533B7E" w:rsidRDefault="0000481A" w:rsidP="0000481A">
      <w:pPr>
        <w:spacing w:after="0" w:line="240" w:lineRule="auto"/>
        <w:jc w:val="both"/>
        <w:rPr>
          <w:rFonts w:ascii="Arial" w:hAnsi="Arial" w:cs="Arial"/>
          <w:sz w:val="16"/>
          <w:szCs w:val="16"/>
        </w:rPr>
      </w:pPr>
    </w:p>
    <w:p w14:paraId="78501D9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48D28B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660BBB2"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lastRenderedPageBreak/>
        <w:t>3. Autorización e Historia:</w:t>
      </w:r>
    </w:p>
    <w:p w14:paraId="680D57C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2EC7AE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2532D59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A37EEA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Fecha de creación del ente.</w:t>
      </w:r>
    </w:p>
    <w:p w14:paraId="3ECA268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C34B792"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3D735486"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Se registró formalmente ante la Secretaria de Hacienda y Crédito Público el 01 de enero de 1985.</w:t>
      </w:r>
    </w:p>
    <w:p w14:paraId="0C7E7585"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De conformidad a lo establecido por el Artículo 26 de la Ley Orgánica Municipal el Ayuntamiento del Municipio de Valle de Santiago estará integrado por un presidente municipal, un síndico y diez regidores.</w:t>
      </w:r>
      <w:r w:rsidRPr="00533B7E">
        <w:rPr>
          <w:rFonts w:ascii="Arial" w:hAnsi="Arial" w:cs="Arial"/>
          <w:sz w:val="16"/>
          <w:szCs w:val="16"/>
        </w:rPr>
        <w:br/>
        <w:t>____________________________________________________________________________________</w:t>
      </w:r>
      <w:r w:rsidRPr="00533B7E">
        <w:rPr>
          <w:rFonts w:ascii="Arial" w:hAnsi="Arial" w:cs="Arial"/>
          <w:sz w:val="16"/>
          <w:szCs w:val="16"/>
        </w:rPr>
        <w:tab/>
      </w:r>
      <w:r w:rsidRPr="00533B7E">
        <w:rPr>
          <w:rFonts w:ascii="Arial" w:hAnsi="Arial" w:cs="Arial"/>
          <w:sz w:val="16"/>
          <w:szCs w:val="16"/>
        </w:rPr>
        <w:tab/>
      </w:r>
    </w:p>
    <w:p w14:paraId="6A6F24D0"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44E433ED"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01A8E85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Principales cambios en su estructura (interna históricamente).</w:t>
      </w:r>
    </w:p>
    <w:p w14:paraId="47E4F70A" w14:textId="77777777" w:rsidR="0000481A" w:rsidRPr="00533B7E" w:rsidRDefault="0000481A" w:rsidP="0000481A">
      <w:pPr>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35E61A65" w14:textId="77777777" w:rsidR="0000481A" w:rsidRPr="00533B7E" w:rsidRDefault="0000481A" w:rsidP="0000481A">
      <w:pPr>
        <w:spacing w:after="0" w:line="240" w:lineRule="auto"/>
        <w:jc w:val="both"/>
        <w:rPr>
          <w:rFonts w:ascii="Arial" w:hAnsi="Arial" w:cs="Arial"/>
          <w:color w:val="000000" w:themeColor="text1"/>
          <w:sz w:val="16"/>
          <w:szCs w:val="16"/>
        </w:rPr>
      </w:pPr>
    </w:p>
    <w:p w14:paraId="578F58E0" w14:textId="77777777" w:rsidR="0000481A" w:rsidRPr="00533B7E" w:rsidRDefault="0000481A" w:rsidP="0000481A">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2015 se elaboró un nuevo manual de todas las dependencias que integran la administración municipal el cual fue aprobado en sesión de ayuntamiento el 5 de octubre del 2015 en sesión numero 73</w:t>
      </w:r>
    </w:p>
    <w:p w14:paraId="31516E74" w14:textId="77777777" w:rsidR="0000481A" w:rsidRPr="00533B7E" w:rsidRDefault="0000481A" w:rsidP="0000481A">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ab/>
      </w:r>
    </w:p>
    <w:p w14:paraId="1C07334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B4619A8"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4. Organización y Objeto Social:</w:t>
      </w:r>
    </w:p>
    <w:p w14:paraId="2B53221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F4FA0F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1CDE66E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1DFFC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Objeto social.</w:t>
      </w:r>
    </w:p>
    <w:p w14:paraId="68EA9C62"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w:t>
      </w:r>
      <w:proofErr w:type="spellStart"/>
      <w:r w:rsidRPr="00533B7E">
        <w:rPr>
          <w:rFonts w:ascii="Arial" w:hAnsi="Arial" w:cs="Arial"/>
          <w:sz w:val="16"/>
          <w:szCs w:val="16"/>
        </w:rPr>
        <w:t>vállenses</w:t>
      </w:r>
      <w:proofErr w:type="spellEnd"/>
      <w:r w:rsidRPr="00533B7E">
        <w:rPr>
          <w:rFonts w:ascii="Arial" w:hAnsi="Arial" w:cs="Arial"/>
          <w:sz w:val="16"/>
          <w:szCs w:val="16"/>
        </w:rPr>
        <w:t xml:space="preserve">. </w:t>
      </w:r>
    </w:p>
    <w:p w14:paraId="0B7E37B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42B3DD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9F0585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 actividad.</w:t>
      </w:r>
    </w:p>
    <w:p w14:paraId="6478F4E3"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0F57A40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03C41D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2B594EB" w14:textId="2954EE2C"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Ejercicio fiscal (mencionar, por ejemplo: enero a diciembre de 20</w:t>
      </w:r>
      <w:r>
        <w:rPr>
          <w:rFonts w:ascii="Arial" w:hAnsi="Arial" w:cs="Arial"/>
          <w:sz w:val="16"/>
          <w:szCs w:val="16"/>
        </w:rPr>
        <w:t>2</w:t>
      </w:r>
      <w:r w:rsidR="00140052">
        <w:rPr>
          <w:rFonts w:ascii="Arial" w:hAnsi="Arial" w:cs="Arial"/>
          <w:sz w:val="16"/>
          <w:szCs w:val="16"/>
        </w:rPr>
        <w:t>1</w:t>
      </w:r>
      <w:r w:rsidRPr="00533B7E">
        <w:rPr>
          <w:rFonts w:ascii="Arial" w:hAnsi="Arial" w:cs="Arial"/>
          <w:sz w:val="16"/>
          <w:szCs w:val="16"/>
        </w:rPr>
        <w:t>.</w:t>
      </w:r>
      <w:r>
        <w:rPr>
          <w:rFonts w:ascii="Arial" w:hAnsi="Arial" w:cs="Arial"/>
          <w:sz w:val="16"/>
          <w:szCs w:val="16"/>
        </w:rPr>
        <w:t>)</w:t>
      </w:r>
    </w:p>
    <w:p w14:paraId="5B1EB25E" w14:textId="4F5BCCA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Enero- </w:t>
      </w:r>
      <w:r>
        <w:rPr>
          <w:rFonts w:ascii="Arial" w:hAnsi="Arial" w:cs="Arial"/>
          <w:sz w:val="16"/>
          <w:szCs w:val="16"/>
        </w:rPr>
        <w:t>marzo</w:t>
      </w:r>
      <w:r w:rsidRPr="00533B7E">
        <w:rPr>
          <w:rFonts w:ascii="Arial" w:hAnsi="Arial" w:cs="Arial"/>
          <w:sz w:val="16"/>
          <w:szCs w:val="16"/>
        </w:rPr>
        <w:t xml:space="preserve"> 20</w:t>
      </w:r>
      <w:r>
        <w:rPr>
          <w:rFonts w:ascii="Arial" w:hAnsi="Arial" w:cs="Arial"/>
          <w:sz w:val="16"/>
          <w:szCs w:val="16"/>
        </w:rPr>
        <w:t>2</w:t>
      </w:r>
      <w:r>
        <w:rPr>
          <w:rFonts w:ascii="Arial" w:hAnsi="Arial" w:cs="Arial"/>
          <w:sz w:val="16"/>
          <w:szCs w:val="16"/>
        </w:rPr>
        <w:t>1</w:t>
      </w:r>
    </w:p>
    <w:p w14:paraId="43ADA66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77D67B1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A3DE75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Régimen jurídico (Forma como está dada de alta la entidad ante la S.H.C.P., ejemplos: S.C., S.A., Personas morales sin fines de lucro, etc.).</w:t>
      </w:r>
    </w:p>
    <w:p w14:paraId="33E1E74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C725872"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Personas morales sin fines de lucro.</w:t>
      </w:r>
    </w:p>
    <w:p w14:paraId="49B7FC7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25CF5D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34FEAB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Consideraciones fiscales del ente: Revelar el tipo de contribuciones que esté obligado a pagar o retener.</w:t>
      </w:r>
    </w:p>
    <w:p w14:paraId="1BEC0509" w14:textId="77777777" w:rsidR="0000481A" w:rsidRPr="00533B7E" w:rsidRDefault="0000481A" w:rsidP="0000481A">
      <w:pPr>
        <w:pStyle w:val="Prrafodelista"/>
        <w:jc w:val="both"/>
        <w:rPr>
          <w:rFonts w:ascii="Arial" w:hAnsi="Arial" w:cs="Arial"/>
          <w:sz w:val="16"/>
          <w:szCs w:val="16"/>
        </w:rPr>
      </w:pPr>
      <w:r w:rsidRPr="00533B7E">
        <w:rPr>
          <w:rFonts w:ascii="Arial" w:hAnsi="Arial" w:cs="Arial"/>
          <w:sz w:val="16"/>
          <w:szCs w:val="16"/>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14:paraId="4889F7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FEC6D7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C2F5F1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Estructura organizacional básica.</w:t>
      </w:r>
    </w:p>
    <w:p w14:paraId="2060DE70" w14:textId="77777777" w:rsidR="0000481A" w:rsidRPr="00533B7E" w:rsidRDefault="0000481A" w:rsidP="0000481A">
      <w:pPr>
        <w:tabs>
          <w:tab w:val="left" w:leader="underscore" w:pos="9639"/>
        </w:tabs>
        <w:spacing w:after="0" w:line="240" w:lineRule="auto"/>
        <w:ind w:firstLine="708"/>
        <w:jc w:val="both"/>
        <w:rPr>
          <w:rFonts w:ascii="Arial" w:hAnsi="Arial" w:cs="Arial"/>
          <w:sz w:val="16"/>
          <w:szCs w:val="16"/>
        </w:rPr>
      </w:pPr>
      <w:r w:rsidRPr="00533B7E">
        <w:rPr>
          <w:rFonts w:ascii="Arial" w:hAnsi="Arial" w:cs="Arial"/>
          <w:sz w:val="16"/>
          <w:szCs w:val="16"/>
        </w:rPr>
        <w:lastRenderedPageBreak/>
        <w:t>*Anexar organigrama de la entidad.</w:t>
      </w:r>
    </w:p>
    <w:p w14:paraId="3F422EA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905815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noProof/>
          <w:sz w:val="16"/>
          <w:szCs w:val="16"/>
          <w:lang w:eastAsia="es-MX"/>
        </w:rPr>
        <w:drawing>
          <wp:anchor distT="0" distB="0" distL="114300" distR="114300" simplePos="0" relativeHeight="251659264" behindDoc="0" locked="0" layoutInCell="1" allowOverlap="1" wp14:anchorId="6F094119" wp14:editId="51133DA3">
            <wp:simplePos x="0" y="0"/>
            <wp:positionH relativeFrom="column">
              <wp:posOffset>-719455</wp:posOffset>
            </wp:positionH>
            <wp:positionV relativeFrom="paragraph">
              <wp:posOffset>4445</wp:posOffset>
            </wp:positionV>
            <wp:extent cx="7458075" cy="38862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239" t="21467" r="5244" b="10001"/>
                    <a:stretch/>
                  </pic:blipFill>
                  <pic:spPr bwMode="auto">
                    <a:xfrm>
                      <a:off x="0" y="0"/>
                      <a:ext cx="7458075" cy="388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3F75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48F084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E3D979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EE134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Fideicomisos, mandatos y análogos de los cuales es fideicomitente o fideicomisario.</w:t>
      </w:r>
    </w:p>
    <w:p w14:paraId="1765D83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9249EE1"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Fideicomiso Fondo de Apoyo para la Infraestructura Municipal.</w:t>
      </w:r>
    </w:p>
    <w:p w14:paraId="4CF002F7"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Fideicomitente: Gobierno del Estado y Municipio de Valle de Santiago.</w:t>
      </w:r>
    </w:p>
    <w:p w14:paraId="2EAEA6C8"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Fideicomisario: Gobierno del Estado y Municipio de Valle de Santiago.</w:t>
      </w:r>
    </w:p>
    <w:p w14:paraId="7D411374"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Fiduciario: Banco Nacional de México (Banamex)</w:t>
      </w:r>
    </w:p>
    <w:p w14:paraId="4494505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8D9DA9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8A492C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CA08D2D"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5. Bases de Preparación de los Estados Financieros:</w:t>
      </w:r>
    </w:p>
    <w:p w14:paraId="4654D4D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3F76C9C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B27803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Si se ha observado la normatividad emitida por el CONAC y las disposiciones legales aplicables.</w:t>
      </w:r>
    </w:p>
    <w:p w14:paraId="456E2B7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E869FF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ente público ha estado observando la normatividad emitida el CONAC y las disposiciones legales aplicables.</w:t>
      </w:r>
    </w:p>
    <w:p w14:paraId="7DB3ACD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70FB3D8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1733FB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D608F85"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br/>
        <w:t>La normatividad aplicada han sido los Postulados Básicos de Contabilidad Gubernamental. En particular el postulado de Valuación que menciona lo siguiente:</w:t>
      </w:r>
    </w:p>
    <w:p w14:paraId="2C6ED02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Todos los eventos que afecten económicamente al ente público deben ser cuantificados en términos monetarios y se registrarán al costo histórico o al valor económico más objetivo registrándose en moneda nacional</w:t>
      </w:r>
    </w:p>
    <w:p w14:paraId="32339B1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p>
    <w:p w14:paraId="00D0B88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244460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Postulados básicos.</w:t>
      </w:r>
    </w:p>
    <w:p w14:paraId="704011E0"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br/>
        <w:t>Sustancia Económica</w:t>
      </w:r>
    </w:p>
    <w:p w14:paraId="64FAA9AC"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Ente Público</w:t>
      </w:r>
    </w:p>
    <w:p w14:paraId="7F4C0984"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Existencia Permanente</w:t>
      </w:r>
    </w:p>
    <w:p w14:paraId="23160B96"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Importancia Relativa</w:t>
      </w:r>
    </w:p>
    <w:p w14:paraId="1FC72C12"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Período Contable</w:t>
      </w:r>
    </w:p>
    <w:p w14:paraId="36F27952"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Registro e Integración Presupuestaria </w:t>
      </w:r>
    </w:p>
    <w:p w14:paraId="0F24FCE8"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Consolidación de la Información Financiera </w:t>
      </w:r>
    </w:p>
    <w:p w14:paraId="19071A03"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Devengado Contable</w:t>
      </w:r>
    </w:p>
    <w:p w14:paraId="407DB4BD"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Valuación</w:t>
      </w:r>
    </w:p>
    <w:p w14:paraId="318B93B9"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Dualidad Económica</w:t>
      </w:r>
    </w:p>
    <w:p w14:paraId="52AEEA9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color w:val="000000" w:themeColor="text1"/>
          <w:sz w:val="16"/>
          <w:szCs w:val="16"/>
        </w:rPr>
        <w:t>Consistencia</w:t>
      </w:r>
      <w:r w:rsidRPr="00533B7E">
        <w:rPr>
          <w:rFonts w:ascii="Arial" w:hAnsi="Arial" w:cs="Arial"/>
          <w:color w:val="000000" w:themeColor="text1"/>
          <w:sz w:val="16"/>
          <w:szCs w:val="16"/>
        </w:rPr>
        <w:br/>
      </w:r>
      <w:r w:rsidRPr="00533B7E">
        <w:rPr>
          <w:rFonts w:ascii="Arial" w:hAnsi="Arial" w:cs="Arial"/>
          <w:sz w:val="16"/>
          <w:szCs w:val="16"/>
        </w:rPr>
        <w:tab/>
      </w:r>
    </w:p>
    <w:p w14:paraId="1B6B4AA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E1C86D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76CF41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9DBF8A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Municipal, Reglamentación Municipal.</w:t>
      </w:r>
    </w:p>
    <w:p w14:paraId="26DE2B2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429676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36FDEA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Para las entidades que por primera vez estén implementando la base devengado de acuerdo a la Ley de Contabilidad, deberán:</w:t>
      </w:r>
    </w:p>
    <w:p w14:paraId="65BCEA5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77886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las nuevas políticas de reconocimiento:</w:t>
      </w:r>
    </w:p>
    <w:p w14:paraId="53B91EC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No aplica </w:t>
      </w:r>
      <w:r w:rsidRPr="00533B7E">
        <w:rPr>
          <w:rFonts w:ascii="Arial" w:hAnsi="Arial" w:cs="Arial"/>
          <w:sz w:val="16"/>
          <w:szCs w:val="16"/>
        </w:rPr>
        <w:tab/>
      </w:r>
    </w:p>
    <w:p w14:paraId="7FDF859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D142FD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*Plan de implementación:</w:t>
      </w:r>
    </w:p>
    <w:p w14:paraId="4A7C4A6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Pr="00533B7E">
        <w:rPr>
          <w:rFonts w:ascii="Arial" w:hAnsi="Arial" w:cs="Arial"/>
          <w:sz w:val="16"/>
          <w:szCs w:val="16"/>
        </w:rPr>
        <w:tab/>
      </w:r>
    </w:p>
    <w:p w14:paraId="1D3F68E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4A90A3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los cambios en las políticas, la clasificación y medición de las mismas, así como su impacto en la información financiera:</w:t>
      </w:r>
    </w:p>
    <w:p w14:paraId="03F9A9B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Pr="00533B7E">
        <w:rPr>
          <w:rFonts w:ascii="Arial" w:hAnsi="Arial" w:cs="Arial"/>
          <w:sz w:val="16"/>
          <w:szCs w:val="16"/>
        </w:rPr>
        <w:tab/>
      </w:r>
    </w:p>
    <w:p w14:paraId="1BF07AC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3A28E43" w14:textId="77777777" w:rsidR="0000481A" w:rsidRPr="00533B7E" w:rsidRDefault="0000481A" w:rsidP="0000481A">
      <w:pPr>
        <w:pStyle w:val="Ttulo2"/>
        <w:rPr>
          <w:rFonts w:ascii="Arial" w:hAnsi="Arial" w:cs="Arial"/>
          <w:b/>
          <w:sz w:val="16"/>
          <w:szCs w:val="16"/>
        </w:rPr>
      </w:pPr>
      <w:r w:rsidRPr="00533B7E">
        <w:rPr>
          <w:rFonts w:ascii="Arial" w:hAnsi="Arial" w:cs="Arial"/>
          <w:b/>
          <w:color w:val="auto"/>
          <w:sz w:val="16"/>
          <w:szCs w:val="16"/>
        </w:rPr>
        <w:t>6. Políticas de Contabilidad Significativas:</w:t>
      </w:r>
    </w:p>
    <w:p w14:paraId="3E38911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23A0E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40DFE36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823D66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41E64F5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Se registran a valor histórico y han existido actualizaciones.</w:t>
      </w:r>
    </w:p>
    <w:p w14:paraId="3B7FAA5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BB648E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B17D7C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CBEC66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Informar sobre la realización de operaciones en el extranjero y de sus efectos en la información financiera gubernamental:</w:t>
      </w:r>
    </w:p>
    <w:p w14:paraId="2DCE9C69" w14:textId="77777777" w:rsidR="0000481A" w:rsidRPr="00533B7E" w:rsidRDefault="0000481A" w:rsidP="0000481A">
      <w:pPr>
        <w:jc w:val="both"/>
        <w:rPr>
          <w:rFonts w:ascii="Arial" w:hAnsi="Arial" w:cs="Arial"/>
          <w:sz w:val="16"/>
          <w:szCs w:val="16"/>
        </w:rPr>
      </w:pPr>
    </w:p>
    <w:p w14:paraId="6A53420E"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lastRenderedPageBreak/>
        <w:t>El Municipio no ha realizado este tipo de operaciones.</w:t>
      </w:r>
    </w:p>
    <w:p w14:paraId="171A1218"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____________________________________________________________________________________</w:t>
      </w:r>
      <w:r w:rsidRPr="00533B7E">
        <w:rPr>
          <w:rFonts w:ascii="Arial" w:hAnsi="Arial" w:cs="Arial"/>
          <w:sz w:val="16"/>
          <w:szCs w:val="16"/>
        </w:rPr>
        <w:tab/>
      </w:r>
    </w:p>
    <w:p w14:paraId="5E34D19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Método de valuación de la inversión en acciones de Compañías subsidiarias no consolidadas y asociadas:</w:t>
      </w:r>
    </w:p>
    <w:p w14:paraId="2B5AB5BA" w14:textId="77777777" w:rsidR="0000481A" w:rsidRPr="00533B7E" w:rsidRDefault="0000481A" w:rsidP="0000481A">
      <w:pPr>
        <w:jc w:val="both"/>
        <w:rPr>
          <w:rFonts w:ascii="Arial" w:hAnsi="Arial" w:cs="Arial"/>
          <w:sz w:val="16"/>
          <w:szCs w:val="16"/>
        </w:rPr>
      </w:pPr>
    </w:p>
    <w:p w14:paraId="51FA68CD"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El Municipio no tiene este tipo de inversiones.</w:t>
      </w:r>
    </w:p>
    <w:p w14:paraId="0E935E36"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___________________________________________________________________________________</w:t>
      </w:r>
      <w:r w:rsidRPr="00533B7E">
        <w:rPr>
          <w:rFonts w:ascii="Arial" w:hAnsi="Arial" w:cs="Arial"/>
          <w:sz w:val="16"/>
          <w:szCs w:val="16"/>
        </w:rPr>
        <w:tab/>
      </w:r>
    </w:p>
    <w:p w14:paraId="4691FA0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Sistema y método de valuación de inventarios y costo de lo vendido:</w:t>
      </w:r>
    </w:p>
    <w:p w14:paraId="6931080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90CC9B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el Municipio no maneja inventarios de mercancía, no se tiene sistema ni método de valuación de inventarios y costo de lo vendido</w:t>
      </w:r>
      <w:r w:rsidRPr="00533B7E">
        <w:rPr>
          <w:rFonts w:ascii="Arial" w:hAnsi="Arial" w:cs="Arial"/>
          <w:sz w:val="16"/>
          <w:szCs w:val="16"/>
        </w:rPr>
        <w:tab/>
      </w:r>
    </w:p>
    <w:p w14:paraId="1AA2F93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93EE83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Beneficios a empleados: revelar el cálculo de la reserva actuarial, valor presente de los ingresos esperados comparado con el valor presente de la estimación de gastos tanto de los beneficiarios actuales como futuros:</w:t>
      </w:r>
    </w:p>
    <w:p w14:paraId="7D5EE216"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 xml:space="preserve">No se tiene reserva. </w:t>
      </w:r>
    </w:p>
    <w:p w14:paraId="3C14660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759B9E2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E0FC03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Provisiones: objetivo de su creación, monto y plazo:</w:t>
      </w:r>
    </w:p>
    <w:p w14:paraId="6D4E140F" w14:textId="77777777" w:rsidR="0000481A" w:rsidRPr="00533B7E" w:rsidRDefault="0000481A" w:rsidP="0000481A">
      <w:pPr>
        <w:spacing w:after="0" w:line="240" w:lineRule="auto"/>
        <w:jc w:val="both"/>
        <w:rPr>
          <w:rFonts w:ascii="Arial" w:hAnsi="Arial" w:cs="Arial"/>
          <w:color w:val="000000" w:themeColor="text1"/>
          <w:sz w:val="16"/>
          <w:szCs w:val="16"/>
        </w:rPr>
      </w:pPr>
      <w:r w:rsidRPr="00533B7E">
        <w:rPr>
          <w:rFonts w:ascii="Arial" w:hAnsi="Arial" w:cs="Arial"/>
          <w:sz w:val="16"/>
          <w:szCs w:val="16"/>
        </w:rPr>
        <w:tab/>
      </w:r>
      <w:r w:rsidRPr="00533B7E">
        <w:rPr>
          <w:rFonts w:ascii="Arial" w:hAnsi="Arial" w:cs="Arial"/>
          <w:color w:val="000000" w:themeColor="text1"/>
          <w:sz w:val="16"/>
          <w:szCs w:val="16"/>
        </w:rPr>
        <w:t xml:space="preserve">No se cuenta con provisiones </w:t>
      </w:r>
    </w:p>
    <w:p w14:paraId="67647D0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51E7AC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Reservas: objetivo de su creación, monto y plazo:</w:t>
      </w:r>
    </w:p>
    <w:p w14:paraId="4D59AF7D"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br/>
        <w:t>Las reservas son creadas para los compromisos contratados, por el monto y plazo firmado en el contrato.</w:t>
      </w:r>
    </w:p>
    <w:p w14:paraId="04AE1DE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6BE42C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C14523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Cambios en políticas contables y corrección de errores junto con la revelación de los efectos que se tendrá en la información financiera del ente público, ya sea retrospectivos o prospectivos:</w:t>
      </w:r>
    </w:p>
    <w:p w14:paraId="62A2C8DE"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br/>
        <w:t xml:space="preserve">Los cambios en las políticas contables se revelarán en los estados financieros, así como el efecto en los valores para fines de comparabilidad. Y cuando se detecte un error contable, este es corregido. </w:t>
      </w:r>
    </w:p>
    <w:p w14:paraId="1A00D22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C8BE6E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E2634F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i)</w:t>
      </w:r>
      <w:r w:rsidRPr="00533B7E">
        <w:rPr>
          <w:rFonts w:ascii="Arial" w:hAnsi="Arial" w:cs="Arial"/>
          <w:sz w:val="16"/>
          <w:szCs w:val="16"/>
        </w:rPr>
        <w:t xml:space="preserve"> Reclasificaciones: Se deben revelar todos aquellos movimientos entre cuentas por efectos de cambios en los tipos de operaciones:</w:t>
      </w:r>
    </w:p>
    <w:p w14:paraId="6ACAA3AC"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br/>
        <w:t>Se procede a realizar las reclasificaciones de las cuentas afectadas por errores contables, o por los cambios en las políticas contables.</w:t>
      </w:r>
    </w:p>
    <w:p w14:paraId="7AF5E34F"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_______________________________________________________________________________</w:t>
      </w:r>
      <w:r w:rsidRPr="00533B7E">
        <w:rPr>
          <w:rFonts w:ascii="Arial" w:hAnsi="Arial" w:cs="Arial"/>
          <w:sz w:val="16"/>
          <w:szCs w:val="16"/>
        </w:rPr>
        <w:tab/>
      </w:r>
    </w:p>
    <w:p w14:paraId="461E483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2C4F27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j)</w:t>
      </w:r>
      <w:r w:rsidRPr="00533B7E">
        <w:rPr>
          <w:rFonts w:ascii="Arial" w:hAnsi="Arial" w:cs="Arial"/>
          <w:sz w:val="16"/>
          <w:szCs w:val="16"/>
        </w:rPr>
        <w:t xml:space="preserve"> Depuración y cancelación de saldos:</w:t>
      </w:r>
    </w:p>
    <w:p w14:paraId="2897B26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EA4D39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realizará al final de cada mes y ejercicio un análisis de los saldos de las cuentas contables para poder efectuar la depuración y en su caso la cancelación de saldos, tomado entre otros aspectos, la antigüedad y veracidad del saldo</w:t>
      </w:r>
      <w:r w:rsidRPr="00533B7E">
        <w:rPr>
          <w:rFonts w:ascii="Arial" w:hAnsi="Arial" w:cs="Arial"/>
          <w:sz w:val="16"/>
          <w:szCs w:val="16"/>
        </w:rPr>
        <w:tab/>
      </w:r>
    </w:p>
    <w:p w14:paraId="7456397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AE6B25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F548B0B"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7. Posición en Moneda Extranjera y Protección por Riesgo Cambiario:</w:t>
      </w:r>
    </w:p>
    <w:p w14:paraId="1967243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4E5890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14C6C81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8F68EB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Activos en moneda extranjera:</w:t>
      </w:r>
    </w:p>
    <w:p w14:paraId="15CEE2F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 xml:space="preserve">El municipio no tiene este tipo de activos </w:t>
      </w:r>
    </w:p>
    <w:p w14:paraId="3CE5222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________________________________________________________________________________________</w:t>
      </w:r>
    </w:p>
    <w:p w14:paraId="3D5CDE0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Pasivos en moneda extranjera:</w:t>
      </w:r>
    </w:p>
    <w:p w14:paraId="2EBEAFE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 xml:space="preserve">El municipio no tiene este tipo de activos </w:t>
      </w:r>
    </w:p>
    <w:p w14:paraId="646EDFF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C932FF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5A509A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c) </w:t>
      </w:r>
      <w:r w:rsidRPr="00533B7E">
        <w:rPr>
          <w:rFonts w:ascii="Arial" w:hAnsi="Arial" w:cs="Arial"/>
          <w:sz w:val="16"/>
          <w:szCs w:val="16"/>
        </w:rPr>
        <w:t>Posición en moneda extranjera:</w:t>
      </w:r>
    </w:p>
    <w:p w14:paraId="276F1D9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resultado de lo mencionado en los puntos a) y b) anteriores, no se tendrá efectos en la Posición en moneda extranjera.</w:t>
      </w:r>
      <w:r w:rsidRPr="00533B7E">
        <w:rPr>
          <w:rFonts w:ascii="Arial" w:hAnsi="Arial" w:cs="Arial"/>
          <w:sz w:val="16"/>
          <w:szCs w:val="16"/>
        </w:rPr>
        <w:tab/>
      </w:r>
    </w:p>
    <w:p w14:paraId="6CCFC56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9D4270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Tipo de cambio:</w:t>
      </w:r>
    </w:p>
    <w:p w14:paraId="5AEA1D12"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Al no tener operaciones en moneda extranjera, no se maneja tipo de cambio.</w:t>
      </w:r>
    </w:p>
    <w:p w14:paraId="626A1A2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ab/>
      </w:r>
    </w:p>
    <w:p w14:paraId="1B7AF3A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6E16C0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Equivalente en moneda nacional:</w:t>
      </w:r>
    </w:p>
    <w:p w14:paraId="20FA7B7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Al no tener operaciones en moneda extranjera, no se tiene un equivalente en moneda nacional.</w:t>
      </w:r>
      <w:r w:rsidRPr="00533B7E">
        <w:rPr>
          <w:rFonts w:ascii="Arial" w:hAnsi="Arial" w:cs="Arial"/>
          <w:sz w:val="16"/>
          <w:szCs w:val="16"/>
        </w:rPr>
        <w:tab/>
      </w:r>
      <w:r w:rsidRPr="00533B7E">
        <w:rPr>
          <w:rFonts w:ascii="Arial" w:hAnsi="Arial" w:cs="Arial"/>
          <w:sz w:val="16"/>
          <w:szCs w:val="16"/>
        </w:rPr>
        <w:tab/>
      </w:r>
    </w:p>
    <w:p w14:paraId="445FA18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3C3B5D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 anterior por cada tipo de moneda extranjera que se encuentre en los rubros de activo y pasivo.</w:t>
      </w:r>
    </w:p>
    <w:p w14:paraId="2622F89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informará sobre los métodos de protección de riesgo por variaciones en el tipo de cambio.</w:t>
      </w:r>
    </w:p>
    <w:p w14:paraId="26A8187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9BE817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C7A7B77"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8. Reporte Analítico del Activo:</w:t>
      </w:r>
    </w:p>
    <w:p w14:paraId="41DF630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1E661A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Debe mostrar la siguiente información:</w:t>
      </w:r>
    </w:p>
    <w:p w14:paraId="6E3DFFC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B8ACF5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Vida útil o porcentajes de depreciación, deterioro o amortización utilizados en los diferentes tipos de activos:</w:t>
      </w:r>
    </w:p>
    <w:p w14:paraId="7740DFE5"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y Administración realizó en el </w:t>
      </w:r>
      <w:r>
        <w:rPr>
          <w:rFonts w:ascii="Arial" w:hAnsi="Arial" w:cs="Arial"/>
          <w:sz w:val="16"/>
          <w:szCs w:val="16"/>
        </w:rPr>
        <w:t>mes de diciembre 2019</w:t>
      </w:r>
      <w:r w:rsidRPr="00533B7E">
        <w:rPr>
          <w:rFonts w:ascii="Arial" w:hAnsi="Arial" w:cs="Arial"/>
          <w:sz w:val="16"/>
          <w:szCs w:val="16"/>
        </w:rPr>
        <w:t xml:space="preserve"> las depreciaciones a los activos fijos de acuerdo a su vida útil. </w:t>
      </w:r>
    </w:p>
    <w:p w14:paraId="0EDA433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652362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AF367F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Cambios en el porcentaje de depreciación o valor residual de los activos:</w:t>
      </w:r>
    </w:p>
    <w:p w14:paraId="66E7DEE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 Secretaria de Finanzas Inversión y Administración realiza este movimiento.</w:t>
      </w:r>
      <w:r w:rsidRPr="00533B7E">
        <w:rPr>
          <w:rFonts w:ascii="Arial" w:hAnsi="Arial" w:cs="Arial"/>
          <w:sz w:val="16"/>
          <w:szCs w:val="16"/>
        </w:rPr>
        <w:tab/>
      </w:r>
    </w:p>
    <w:p w14:paraId="685FD12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EE6F78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Importe de los gastos capitalizados en el ejercicio, tanto financieros como de investigación y desarrollo:</w:t>
      </w:r>
    </w:p>
    <w:p w14:paraId="3DB36271" w14:textId="77777777" w:rsidR="0000481A" w:rsidRPr="00533B7E" w:rsidRDefault="0000481A" w:rsidP="0000481A">
      <w:pPr>
        <w:spacing w:after="0" w:line="240" w:lineRule="auto"/>
        <w:jc w:val="both"/>
        <w:rPr>
          <w:rFonts w:ascii="Arial" w:hAnsi="Arial" w:cs="Arial"/>
          <w:sz w:val="16"/>
          <w:szCs w:val="16"/>
        </w:rPr>
      </w:pPr>
    </w:p>
    <w:p w14:paraId="25D465D0"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Al momento no existen gastos capitalizados en el ejercicio</w:t>
      </w:r>
    </w:p>
    <w:p w14:paraId="6052B17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F6EA7A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32181F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Riesgos por tipo de cambio o tipo de interés de las inversiones financieras:</w:t>
      </w:r>
    </w:p>
    <w:p w14:paraId="2783963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E27236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Municipio tiene inversiones financieras en moneda nacional en valores de renta fija, por lo </w:t>
      </w:r>
      <w:proofErr w:type="gramStart"/>
      <w:r w:rsidRPr="00533B7E">
        <w:rPr>
          <w:rFonts w:ascii="Arial" w:hAnsi="Arial" w:cs="Arial"/>
          <w:sz w:val="16"/>
          <w:szCs w:val="16"/>
        </w:rPr>
        <w:t>tanto</w:t>
      </w:r>
      <w:proofErr w:type="gramEnd"/>
      <w:r w:rsidRPr="00533B7E">
        <w:rPr>
          <w:rFonts w:ascii="Arial" w:hAnsi="Arial" w:cs="Arial"/>
          <w:sz w:val="16"/>
          <w:szCs w:val="16"/>
        </w:rPr>
        <w:t xml:space="preserve"> no se tienen riesgos por el tipo de cambio o por el tipo de interés</w:t>
      </w:r>
      <w:r w:rsidRPr="00533B7E">
        <w:rPr>
          <w:rFonts w:ascii="Arial" w:hAnsi="Arial" w:cs="Arial"/>
          <w:sz w:val="16"/>
          <w:szCs w:val="16"/>
        </w:rPr>
        <w:tab/>
      </w:r>
    </w:p>
    <w:p w14:paraId="3E87368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443FE1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Valor activado en el ejercicio de los bienes construidos por la entidad:</w:t>
      </w:r>
    </w:p>
    <w:p w14:paraId="1F7857E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66D2248B"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26D0D5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49EEDAE"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A la fecha no se han presentado este tipo de circunstancias.</w:t>
      </w:r>
      <w:r w:rsidRPr="00533B7E">
        <w:rPr>
          <w:rFonts w:ascii="Arial" w:hAnsi="Arial" w:cs="Arial"/>
          <w:sz w:val="16"/>
          <w:szCs w:val="16"/>
        </w:rPr>
        <w:tab/>
      </w:r>
      <w:r w:rsidRPr="00533B7E">
        <w:rPr>
          <w:rFonts w:ascii="Arial" w:hAnsi="Arial" w:cs="Arial"/>
          <w:sz w:val="16"/>
          <w:szCs w:val="16"/>
        </w:rPr>
        <w:tab/>
      </w:r>
    </w:p>
    <w:p w14:paraId="5010EE4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Desmantelamiento de Activos, procedimientos, implicaciones, efectos contables:</w:t>
      </w:r>
    </w:p>
    <w:p w14:paraId="3492BB6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C2BC6B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En lo que va del presente ejercicio no se ha llevado a cabo ningún desmantelamiento de activos.</w:t>
      </w:r>
    </w:p>
    <w:p w14:paraId="3674319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29ECA6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Administración de activos; planeación con el objetivo de que el ente los utilice de manera más efectiva:</w:t>
      </w:r>
    </w:p>
    <w:p w14:paraId="40C8219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58BCA87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896DF0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deben incluir las explicaciones de las principales variaciones en el activo, en cuadros comparativos como sigue:</w:t>
      </w:r>
    </w:p>
    <w:p w14:paraId="2EF7D40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48F1139" w14:textId="77777777" w:rsidR="0000481A" w:rsidRPr="00F7016D" w:rsidRDefault="0000481A" w:rsidP="0000481A">
      <w:pPr>
        <w:tabs>
          <w:tab w:val="left" w:leader="underscore" w:pos="9639"/>
        </w:tabs>
        <w:spacing w:after="0" w:line="240" w:lineRule="auto"/>
        <w:jc w:val="both"/>
        <w:rPr>
          <w:rFonts w:eastAsia="Times New Roman"/>
          <w:color w:val="000000"/>
          <w:lang w:eastAsia="es-MX"/>
        </w:rPr>
      </w:pPr>
      <w:r w:rsidRPr="00533B7E">
        <w:rPr>
          <w:rFonts w:ascii="Arial" w:hAnsi="Arial" w:cs="Arial"/>
          <w:b/>
          <w:sz w:val="16"/>
          <w:szCs w:val="16"/>
        </w:rPr>
        <w:t>a)</w:t>
      </w:r>
      <w:r w:rsidRPr="00533B7E">
        <w:rPr>
          <w:rFonts w:ascii="Arial" w:hAnsi="Arial" w:cs="Arial"/>
          <w:sz w:val="16"/>
          <w:szCs w:val="16"/>
        </w:rPr>
        <w:t xml:space="preserve"> Inversiones en valores:</w:t>
      </w:r>
      <w:r>
        <w:rPr>
          <w:rFonts w:ascii="Arial" w:hAnsi="Arial" w:cs="Arial"/>
          <w:sz w:val="16"/>
          <w:szCs w:val="16"/>
        </w:rPr>
        <w:t xml:space="preserve"> 101,023,837.58</w:t>
      </w:r>
    </w:p>
    <w:p w14:paraId="2F94A661" w14:textId="77777777" w:rsidR="0000481A" w:rsidRPr="00533B7E" w:rsidRDefault="0000481A" w:rsidP="0000481A">
      <w:pPr>
        <w:spacing w:after="0" w:line="240" w:lineRule="auto"/>
        <w:jc w:val="both"/>
        <w:rPr>
          <w:rFonts w:ascii="Arial" w:eastAsia="Times New Roman" w:hAnsi="Arial" w:cs="Arial"/>
          <w:color w:val="000000" w:themeColor="text1"/>
          <w:sz w:val="16"/>
          <w:szCs w:val="16"/>
          <w:lang w:eastAsia="es-MX"/>
        </w:rPr>
      </w:pPr>
    </w:p>
    <w:p w14:paraId="74BF95A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Patrimonio de Organismos descentralizados de Control Presupuestario Indirecto:</w:t>
      </w:r>
    </w:p>
    <w:p w14:paraId="74DD0D4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p>
    <w:p w14:paraId="5F52F5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CA4A6D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Inversiones en empresas de participación mayoritaria:</w:t>
      </w:r>
    </w:p>
    <w:p w14:paraId="23A1E2D9"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br/>
        <w:t>El Municipio no cuenta con empresas de participación mayoritaria.</w:t>
      </w:r>
    </w:p>
    <w:p w14:paraId="148856A8" w14:textId="77777777" w:rsidR="0000481A" w:rsidRPr="00533B7E" w:rsidRDefault="0000481A" w:rsidP="0000481A">
      <w:pPr>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Inversiones en empresas de participación minoritaria:</w:t>
      </w:r>
    </w:p>
    <w:p w14:paraId="4D712AD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empresas de participación mayoritaria.</w:t>
      </w:r>
    </w:p>
    <w:p w14:paraId="09867D9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78BBAE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Patrimonio de organismos descentralizados de control presupuestario directo, según corresponda:</w:t>
      </w:r>
    </w:p>
    <w:p w14:paraId="168E159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organismos descentralizados.</w:t>
      </w:r>
    </w:p>
    <w:p w14:paraId="63DF54B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9C1CAE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A927C6D"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9. Fideicomisos, Mandatos y Análogos:</w:t>
      </w:r>
    </w:p>
    <w:p w14:paraId="10BC406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0FEC0D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deberá informar:</w:t>
      </w:r>
    </w:p>
    <w:p w14:paraId="683834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F46922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Por ramo administrativo que los reporta:</w:t>
      </w:r>
    </w:p>
    <w:p w14:paraId="61626B7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Programas y Convenios del Municipio.</w:t>
      </w:r>
    </w:p>
    <w:p w14:paraId="17C27B8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09606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Enlistar los de mayor monto de disponibilidad, relacionando aquéllos que conforman el 80% de las disponibilidades:</w:t>
      </w:r>
    </w:p>
    <w:p w14:paraId="51C3328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Solo se cuenta con un Fideicomiso.</w:t>
      </w:r>
    </w:p>
    <w:p w14:paraId="4875E48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DCC91BD"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10. Reporte de la Recaudación:</w:t>
      </w:r>
    </w:p>
    <w:p w14:paraId="5BFFEE2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461318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Análisis del comportamiento de la recaudación correspondiente al ente público o cualquier tipo de ingreso, de forma separada los ingresos locales de los federales:</w:t>
      </w:r>
    </w:p>
    <w:p w14:paraId="313F9C08" w14:textId="77777777" w:rsidR="00CA55B5" w:rsidRPr="00533B7E" w:rsidRDefault="0000481A" w:rsidP="00CA55B5">
      <w:pPr>
        <w:spacing w:after="0" w:line="240" w:lineRule="auto"/>
        <w:jc w:val="both"/>
        <w:rPr>
          <w:rFonts w:ascii="Arial" w:hAnsi="Arial" w:cs="Arial"/>
          <w:sz w:val="16"/>
          <w:szCs w:val="16"/>
        </w:rPr>
      </w:pPr>
      <w:r>
        <w:rPr>
          <w:rFonts w:ascii="Arial" w:hAnsi="Arial" w:cs="Arial"/>
          <w:sz w:val="16"/>
          <w:szCs w:val="16"/>
        </w:rPr>
        <w:t>Con c</w:t>
      </w:r>
      <w:r w:rsidR="00CA55B5">
        <w:rPr>
          <w:rFonts w:ascii="Arial" w:hAnsi="Arial" w:cs="Arial"/>
          <w:sz w:val="16"/>
          <w:szCs w:val="16"/>
        </w:rPr>
        <w:t>orte</w:t>
      </w:r>
      <w:r>
        <w:rPr>
          <w:rFonts w:ascii="Arial" w:hAnsi="Arial" w:cs="Arial"/>
          <w:sz w:val="16"/>
          <w:szCs w:val="16"/>
        </w:rPr>
        <w:t xml:space="preserve"> al 31 de</w:t>
      </w:r>
      <w:r w:rsidR="00CA55B5">
        <w:rPr>
          <w:rFonts w:ascii="Arial" w:hAnsi="Arial" w:cs="Arial"/>
          <w:sz w:val="16"/>
          <w:szCs w:val="16"/>
        </w:rPr>
        <w:t xml:space="preserve"> marzo del 2021 t</w:t>
      </w:r>
      <w:r>
        <w:rPr>
          <w:rFonts w:ascii="Arial" w:hAnsi="Arial" w:cs="Arial"/>
          <w:sz w:val="16"/>
          <w:szCs w:val="16"/>
        </w:rPr>
        <w:t>iene el siguiente porcentaje de recaudación</w:t>
      </w:r>
      <w:r w:rsidR="00CA55B5">
        <w:rPr>
          <w:rFonts w:ascii="Arial" w:hAnsi="Arial" w:cs="Arial"/>
          <w:sz w:val="16"/>
          <w:szCs w:val="16"/>
        </w:rPr>
        <w:t xml:space="preserve"> </w:t>
      </w:r>
      <w:r w:rsidR="00CA55B5" w:rsidRPr="00533B7E">
        <w:rPr>
          <w:rFonts w:ascii="Arial" w:hAnsi="Arial" w:cs="Arial"/>
          <w:sz w:val="16"/>
          <w:szCs w:val="16"/>
        </w:rPr>
        <w:t xml:space="preserve">con respecto a lo </w:t>
      </w:r>
      <w:r w:rsidR="00CA55B5">
        <w:rPr>
          <w:rFonts w:ascii="Arial" w:hAnsi="Arial" w:cs="Arial"/>
          <w:sz w:val="16"/>
          <w:szCs w:val="16"/>
        </w:rPr>
        <w:t>aprobado</w:t>
      </w:r>
      <w:r w:rsidR="00CA55B5" w:rsidRPr="00533B7E">
        <w:rPr>
          <w:rFonts w:ascii="Arial" w:hAnsi="Arial" w:cs="Arial"/>
          <w:sz w:val="16"/>
          <w:szCs w:val="16"/>
        </w:rPr>
        <w:t xml:space="preserve"> </w:t>
      </w:r>
      <w:r w:rsidR="00CA55B5">
        <w:rPr>
          <w:rFonts w:ascii="Arial" w:hAnsi="Arial" w:cs="Arial"/>
          <w:sz w:val="16"/>
          <w:szCs w:val="16"/>
        </w:rPr>
        <w:t xml:space="preserve">en el presupuesto de </w:t>
      </w:r>
      <w:r w:rsidR="00CA55B5" w:rsidRPr="00533B7E">
        <w:rPr>
          <w:rFonts w:ascii="Arial" w:hAnsi="Arial" w:cs="Arial"/>
          <w:sz w:val="16"/>
          <w:szCs w:val="16"/>
        </w:rPr>
        <w:t>ingresos</w:t>
      </w:r>
      <w:r w:rsidR="00CA55B5">
        <w:rPr>
          <w:rFonts w:ascii="Arial" w:hAnsi="Arial" w:cs="Arial"/>
          <w:sz w:val="16"/>
          <w:szCs w:val="16"/>
        </w:rPr>
        <w:t xml:space="preserve"> para el </w:t>
      </w:r>
      <w:r w:rsidR="00CA55B5" w:rsidRPr="00533B7E">
        <w:rPr>
          <w:rFonts w:ascii="Arial" w:hAnsi="Arial" w:cs="Arial"/>
          <w:sz w:val="16"/>
          <w:szCs w:val="16"/>
        </w:rPr>
        <w:t>ejercicio fiscal 20</w:t>
      </w:r>
      <w:r w:rsidR="00CA55B5">
        <w:rPr>
          <w:rFonts w:ascii="Arial" w:hAnsi="Arial" w:cs="Arial"/>
          <w:sz w:val="16"/>
          <w:szCs w:val="16"/>
        </w:rPr>
        <w:t>21.</w:t>
      </w:r>
    </w:p>
    <w:p w14:paraId="5DFACD9C" w14:textId="77777777" w:rsidR="00CA55B5" w:rsidRDefault="0000481A" w:rsidP="00CA55B5">
      <w:pPr>
        <w:spacing w:after="0" w:line="240" w:lineRule="auto"/>
        <w:jc w:val="both"/>
        <w:rPr>
          <w:rFonts w:ascii="Arial" w:hAnsi="Arial" w:cs="Arial"/>
          <w:sz w:val="16"/>
          <w:szCs w:val="16"/>
        </w:rPr>
      </w:pPr>
      <w:r>
        <w:rPr>
          <w:rFonts w:ascii="Arial" w:hAnsi="Arial" w:cs="Arial"/>
          <w:sz w:val="16"/>
          <w:szCs w:val="16"/>
        </w:rPr>
        <w:t xml:space="preserve">Impuestos </w:t>
      </w:r>
      <w:r w:rsidR="00CA55B5">
        <w:rPr>
          <w:rFonts w:ascii="Arial" w:hAnsi="Arial" w:cs="Arial"/>
          <w:sz w:val="16"/>
          <w:szCs w:val="16"/>
        </w:rPr>
        <w:t>78</w:t>
      </w:r>
      <w:r w:rsidRPr="00533B7E">
        <w:rPr>
          <w:rFonts w:ascii="Arial" w:hAnsi="Arial" w:cs="Arial"/>
          <w:sz w:val="16"/>
          <w:szCs w:val="16"/>
        </w:rPr>
        <w:t>%, contribucione</w:t>
      </w:r>
      <w:r>
        <w:rPr>
          <w:rFonts w:ascii="Arial" w:hAnsi="Arial" w:cs="Arial"/>
          <w:sz w:val="16"/>
          <w:szCs w:val="16"/>
        </w:rPr>
        <w:t xml:space="preserve">s de mejora </w:t>
      </w:r>
      <w:r w:rsidR="00CA55B5">
        <w:rPr>
          <w:rFonts w:ascii="Arial" w:hAnsi="Arial" w:cs="Arial"/>
          <w:sz w:val="16"/>
          <w:szCs w:val="16"/>
        </w:rPr>
        <w:t>6</w:t>
      </w:r>
      <w:r>
        <w:rPr>
          <w:rFonts w:ascii="Arial" w:hAnsi="Arial" w:cs="Arial"/>
          <w:sz w:val="16"/>
          <w:szCs w:val="16"/>
        </w:rPr>
        <w:t>%, derechos</w:t>
      </w:r>
      <w:r w:rsidR="00CA55B5">
        <w:rPr>
          <w:rFonts w:ascii="Arial" w:hAnsi="Arial" w:cs="Arial"/>
          <w:sz w:val="16"/>
          <w:szCs w:val="16"/>
        </w:rPr>
        <w:t xml:space="preserve"> 26</w:t>
      </w:r>
      <w:r w:rsidRPr="00533B7E">
        <w:rPr>
          <w:rFonts w:ascii="Arial" w:hAnsi="Arial" w:cs="Arial"/>
          <w:sz w:val="16"/>
          <w:szCs w:val="16"/>
        </w:rPr>
        <w:t>%</w:t>
      </w:r>
      <w:r>
        <w:rPr>
          <w:rFonts w:ascii="Arial" w:hAnsi="Arial" w:cs="Arial"/>
          <w:sz w:val="16"/>
          <w:szCs w:val="16"/>
        </w:rPr>
        <w:t xml:space="preserve">, productos </w:t>
      </w:r>
      <w:r w:rsidR="00CA55B5">
        <w:rPr>
          <w:rFonts w:ascii="Arial" w:hAnsi="Arial" w:cs="Arial"/>
          <w:sz w:val="16"/>
          <w:szCs w:val="16"/>
        </w:rPr>
        <w:t>13</w:t>
      </w:r>
      <w:r>
        <w:rPr>
          <w:rFonts w:ascii="Arial" w:hAnsi="Arial" w:cs="Arial"/>
          <w:sz w:val="16"/>
          <w:szCs w:val="16"/>
        </w:rPr>
        <w:t xml:space="preserve">%, aprovechamientos </w:t>
      </w:r>
      <w:r w:rsidR="00CA55B5">
        <w:rPr>
          <w:rFonts w:ascii="Arial" w:hAnsi="Arial" w:cs="Arial"/>
          <w:sz w:val="16"/>
          <w:szCs w:val="16"/>
        </w:rPr>
        <w:t>38</w:t>
      </w:r>
      <w:r w:rsidRPr="00533B7E">
        <w:rPr>
          <w:rFonts w:ascii="Arial" w:hAnsi="Arial" w:cs="Arial"/>
          <w:sz w:val="16"/>
          <w:szCs w:val="16"/>
        </w:rPr>
        <w:t>%,</w:t>
      </w:r>
      <w:r>
        <w:rPr>
          <w:rFonts w:ascii="Arial" w:hAnsi="Arial" w:cs="Arial"/>
          <w:sz w:val="16"/>
          <w:szCs w:val="16"/>
        </w:rPr>
        <w:t xml:space="preserve"> participaciones y aportaciones</w:t>
      </w:r>
      <w:r w:rsidRPr="00533B7E">
        <w:rPr>
          <w:rFonts w:ascii="Arial" w:hAnsi="Arial" w:cs="Arial"/>
          <w:sz w:val="16"/>
          <w:szCs w:val="16"/>
        </w:rPr>
        <w:t xml:space="preserve"> </w:t>
      </w:r>
      <w:r w:rsidR="00CA55B5">
        <w:rPr>
          <w:rFonts w:ascii="Arial" w:hAnsi="Arial" w:cs="Arial"/>
          <w:sz w:val="16"/>
          <w:szCs w:val="16"/>
        </w:rPr>
        <w:t>25</w:t>
      </w:r>
      <w:r w:rsidRPr="00533B7E">
        <w:rPr>
          <w:rFonts w:ascii="Arial" w:hAnsi="Arial" w:cs="Arial"/>
          <w:sz w:val="16"/>
          <w:szCs w:val="16"/>
        </w:rPr>
        <w:t>%</w:t>
      </w:r>
      <w:r w:rsidR="00CA55B5">
        <w:rPr>
          <w:rFonts w:ascii="Arial" w:hAnsi="Arial" w:cs="Arial"/>
          <w:sz w:val="16"/>
          <w:szCs w:val="16"/>
        </w:rPr>
        <w:t>.______________________________________________________________________________________________________</w:t>
      </w:r>
      <w:r w:rsidRPr="00533B7E">
        <w:rPr>
          <w:rFonts w:ascii="Arial" w:hAnsi="Arial" w:cs="Arial"/>
          <w:sz w:val="16"/>
          <w:szCs w:val="16"/>
        </w:rPr>
        <w:tab/>
      </w:r>
    </w:p>
    <w:p w14:paraId="456BE23E" w14:textId="3B058637" w:rsidR="0000481A" w:rsidRPr="00533B7E" w:rsidRDefault="0000481A" w:rsidP="00CA55B5">
      <w:pPr>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Proyección de la recaudación e ingresos en el mediano plazo:</w:t>
      </w:r>
    </w:p>
    <w:p w14:paraId="56D34A0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Por lo que respecta a los ingresos propios se proyecta una recaudación exitosa de acuerdo a lo presupuestado.</w:t>
      </w:r>
      <w:r w:rsidRPr="00533B7E">
        <w:rPr>
          <w:rFonts w:ascii="Arial" w:hAnsi="Arial" w:cs="Arial"/>
          <w:sz w:val="16"/>
          <w:szCs w:val="16"/>
        </w:rPr>
        <w:tab/>
      </w:r>
    </w:p>
    <w:p w14:paraId="02CCB34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206B3D7"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11. Información sobre la Deuda y el Reporte Analítico de la Deuda:</w:t>
      </w:r>
    </w:p>
    <w:p w14:paraId="562DFB0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D04F83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Utilizar al menos los siguientes indicadores: deuda respecto al PIB y deuda respecto a la recaudación tomando, como mínimo, un período igual o menor a 5 años.</w:t>
      </w:r>
    </w:p>
    <w:p w14:paraId="02B20CC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Municipio no cuenta con deuda pública. </w:t>
      </w:r>
    </w:p>
    <w:p w14:paraId="03A1D34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Información de manera agrupada por tipo de valor gubernamental o instrumento financiero en la que se consideren intereses, comisiones, tasa, perfil de vencimiento y otros gastos de la deuda.</w:t>
      </w:r>
    </w:p>
    <w:p w14:paraId="7232936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Se anexará la información en las notas de desglose.</w:t>
      </w:r>
    </w:p>
    <w:p w14:paraId="194E7E2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34A665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84454E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07AA266"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12. Calificaciones otorgadas:</w:t>
      </w:r>
    </w:p>
    <w:p w14:paraId="3BB4F38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7EF5F0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Informar, tanto del ente público como cualquier transacción realizada, que haya sido sujeta a una calificación crediticia:</w:t>
      </w:r>
    </w:p>
    <w:p w14:paraId="251D7958" w14:textId="7202ED57" w:rsidR="0000481A" w:rsidRPr="0085245F" w:rsidRDefault="0000481A" w:rsidP="0000481A">
      <w:pPr>
        <w:spacing w:after="0" w:line="240" w:lineRule="auto"/>
        <w:jc w:val="both"/>
        <w:rPr>
          <w:rFonts w:ascii="Arial" w:eastAsia="Times New Roman" w:hAnsi="Arial" w:cs="Arial"/>
          <w:sz w:val="16"/>
          <w:szCs w:val="16"/>
          <w:lang w:eastAsia="es-MX"/>
        </w:rPr>
      </w:pPr>
      <w:r w:rsidRPr="00533B7E">
        <w:rPr>
          <w:rFonts w:ascii="Arial" w:hAnsi="Arial" w:cs="Arial"/>
          <w:sz w:val="16"/>
          <w:szCs w:val="16"/>
        </w:rPr>
        <w:t xml:space="preserve">En Municipio contrato la apertura de un </w:t>
      </w:r>
      <w:r w:rsidRPr="006B2A55">
        <w:rPr>
          <w:rFonts w:ascii="Arial" w:hAnsi="Arial" w:cs="Arial"/>
          <w:sz w:val="16"/>
          <w:szCs w:val="16"/>
        </w:rPr>
        <w:t xml:space="preserve">crédito simple por $15, 000,000.00 (quince millones de pesos 00/100M.N.) en el mes de septiembre 2018, al </w:t>
      </w:r>
      <w:r>
        <w:rPr>
          <w:rFonts w:ascii="Arial" w:hAnsi="Arial" w:cs="Arial"/>
          <w:sz w:val="16"/>
          <w:szCs w:val="16"/>
        </w:rPr>
        <w:t>31</w:t>
      </w:r>
      <w:r w:rsidRPr="006B2A55">
        <w:rPr>
          <w:rFonts w:ascii="Arial" w:hAnsi="Arial" w:cs="Arial"/>
          <w:sz w:val="16"/>
          <w:szCs w:val="16"/>
        </w:rPr>
        <w:t xml:space="preserve"> de</w:t>
      </w:r>
      <w:r>
        <w:rPr>
          <w:rFonts w:ascii="Arial" w:hAnsi="Arial" w:cs="Arial"/>
          <w:sz w:val="16"/>
          <w:szCs w:val="16"/>
        </w:rPr>
        <w:t xml:space="preserve"> </w:t>
      </w:r>
      <w:r w:rsidR="00CA55B5">
        <w:rPr>
          <w:rFonts w:ascii="Arial" w:hAnsi="Arial" w:cs="Arial"/>
          <w:sz w:val="16"/>
          <w:szCs w:val="16"/>
        </w:rPr>
        <w:t>marzo</w:t>
      </w:r>
      <w:r>
        <w:rPr>
          <w:rFonts w:ascii="Arial" w:hAnsi="Arial" w:cs="Arial"/>
          <w:sz w:val="16"/>
          <w:szCs w:val="16"/>
        </w:rPr>
        <w:t xml:space="preserve"> del 202</w:t>
      </w:r>
      <w:r w:rsidR="00CA55B5">
        <w:rPr>
          <w:rFonts w:ascii="Arial" w:hAnsi="Arial" w:cs="Arial"/>
          <w:sz w:val="16"/>
          <w:szCs w:val="16"/>
        </w:rPr>
        <w:t>1</w:t>
      </w:r>
      <w:r w:rsidRPr="006B2A55">
        <w:rPr>
          <w:rFonts w:ascii="Arial" w:hAnsi="Arial" w:cs="Arial"/>
          <w:sz w:val="16"/>
          <w:szCs w:val="16"/>
        </w:rPr>
        <w:t xml:space="preserve"> se han amortizado $ </w:t>
      </w:r>
      <w:r w:rsidR="00CA55B5">
        <w:rPr>
          <w:rFonts w:ascii="Arial" w:eastAsia="Times New Roman" w:hAnsi="Arial" w:cs="Arial"/>
          <w:sz w:val="16"/>
          <w:szCs w:val="16"/>
          <w:lang w:eastAsia="es-MX"/>
        </w:rPr>
        <w:t>4</w:t>
      </w:r>
      <w:r w:rsidRPr="0085245F">
        <w:rPr>
          <w:rFonts w:ascii="Arial" w:eastAsia="Times New Roman" w:hAnsi="Arial" w:cs="Arial"/>
          <w:sz w:val="16"/>
          <w:szCs w:val="16"/>
          <w:lang w:eastAsia="es-MX"/>
        </w:rPr>
        <w:t>,</w:t>
      </w:r>
      <w:r w:rsidR="00CA55B5">
        <w:rPr>
          <w:rFonts w:ascii="Arial" w:eastAsia="Times New Roman" w:hAnsi="Arial" w:cs="Arial"/>
          <w:sz w:val="16"/>
          <w:szCs w:val="16"/>
          <w:lang w:eastAsia="es-MX"/>
        </w:rPr>
        <w:t>151</w:t>
      </w:r>
      <w:r>
        <w:rPr>
          <w:rFonts w:ascii="Arial" w:eastAsia="Times New Roman" w:hAnsi="Arial" w:cs="Arial"/>
          <w:sz w:val="16"/>
          <w:szCs w:val="16"/>
          <w:lang w:eastAsia="es-MX"/>
        </w:rPr>
        <w:t>,</w:t>
      </w:r>
      <w:r w:rsidR="00CA55B5">
        <w:rPr>
          <w:rFonts w:ascii="Arial" w:eastAsia="Times New Roman" w:hAnsi="Arial" w:cs="Arial"/>
          <w:sz w:val="16"/>
          <w:szCs w:val="16"/>
          <w:lang w:eastAsia="es-MX"/>
        </w:rPr>
        <w:t>785</w:t>
      </w:r>
      <w:r>
        <w:rPr>
          <w:rFonts w:ascii="Arial" w:eastAsia="Times New Roman" w:hAnsi="Arial" w:cs="Arial"/>
          <w:sz w:val="16"/>
          <w:szCs w:val="16"/>
          <w:lang w:eastAsia="es-MX"/>
        </w:rPr>
        <w:t>.</w:t>
      </w:r>
      <w:r w:rsidR="00CA55B5">
        <w:rPr>
          <w:rFonts w:ascii="Arial" w:eastAsia="Times New Roman" w:hAnsi="Arial" w:cs="Arial"/>
          <w:sz w:val="16"/>
          <w:szCs w:val="16"/>
          <w:lang w:eastAsia="es-MX"/>
        </w:rPr>
        <w:t>67</w:t>
      </w:r>
      <w:r>
        <w:rPr>
          <w:rFonts w:ascii="Arial" w:eastAsia="Times New Roman" w:hAnsi="Arial" w:cs="Arial"/>
          <w:sz w:val="16"/>
          <w:szCs w:val="16"/>
          <w:lang w:eastAsia="es-MX"/>
        </w:rPr>
        <w:t>.</w:t>
      </w:r>
    </w:p>
    <w:p w14:paraId="76C4EAB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B6DBF87"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13. Proceso de Mejora:</w:t>
      </w:r>
    </w:p>
    <w:p w14:paraId="3C5995D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3D6B71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de:</w:t>
      </w:r>
    </w:p>
    <w:p w14:paraId="6F3BDB7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65EDE0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Principales Políticas de control interno:</w:t>
      </w:r>
    </w:p>
    <w:p w14:paraId="6077F01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4422B0B"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Estandarizar, asegurar y controlar el cumplimiento de la rutina de trabajo de cada Dirección.</w:t>
      </w:r>
    </w:p>
    <w:p w14:paraId="297A47E6"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 xml:space="preserve">Simplificar la operatividad de cada Dirección al contar con sus Procesos Clave definidos y documentados. </w:t>
      </w:r>
    </w:p>
    <w:p w14:paraId="5325029E"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Facilitar el Control y Seguimiento de Procesos Clave.</w:t>
      </w:r>
    </w:p>
    <w:p w14:paraId="4DE24CDA"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Delimitar las funciones y responsabilidades de cada uno de los puestos que integran cada Dirección.</w:t>
      </w:r>
    </w:p>
    <w:p w14:paraId="7DAB1EC8"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Coordinación de actividades para evitar duplicidad de funciones.</w:t>
      </w:r>
    </w:p>
    <w:p w14:paraId="28C8EBD3"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Inducción al puesto y adiestramiento del personal de nuevo ingreso.</w:t>
      </w:r>
    </w:p>
    <w:p w14:paraId="3F0BB939"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3FCD82B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Medidas de desempeño financiero, metas y alcance:</w:t>
      </w:r>
    </w:p>
    <w:p w14:paraId="4A1BA8F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Medidas de desempeño financiero, metas y alcance son evaluadas a través del Estado del Gasto Presupuestal Programático</w:t>
      </w:r>
      <w:r w:rsidRPr="00533B7E">
        <w:rPr>
          <w:rFonts w:ascii="Arial" w:hAnsi="Arial" w:cs="Arial"/>
          <w:sz w:val="16"/>
          <w:szCs w:val="16"/>
        </w:rPr>
        <w:tab/>
      </w:r>
    </w:p>
    <w:p w14:paraId="222E4F2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59F0D7D"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14. Información por Segmentos:</w:t>
      </w:r>
    </w:p>
    <w:p w14:paraId="21D5667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2C8352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5ABD7C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C82F45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Consecuentemente, esta información contribuye al análisis más preciso de la situación financiera, grados y fuentes de riesgo y crecimiento potencial de negocio.</w:t>
      </w:r>
    </w:p>
    <w:p w14:paraId="56E4AD2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DD2D10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BAA1E63"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15. Eventos Posteriores al Cierre:</w:t>
      </w:r>
    </w:p>
    <w:p w14:paraId="085C86D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0ACEB5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533B7E">
        <w:rPr>
          <w:rFonts w:ascii="Arial" w:hAnsi="Arial" w:cs="Arial"/>
          <w:sz w:val="16"/>
          <w:szCs w:val="16"/>
        </w:rPr>
        <w:cr/>
      </w:r>
    </w:p>
    <w:p w14:paraId="64CE877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2307012"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16. Partes Relacionadas:</w:t>
      </w:r>
    </w:p>
    <w:p w14:paraId="77483C1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935A76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 establecer por escrito que no existen partes relacionadas que pudieran ejercer influencia significativa sobre la toma de decisiones financieras y operativas:</w:t>
      </w:r>
    </w:p>
    <w:p w14:paraId="0A64EAA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partes relacionadas.</w:t>
      </w:r>
    </w:p>
    <w:p w14:paraId="5C89B06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942173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780AB95"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17. Responsabilidad Sobre la Presentación Razonable de la Información Contable:</w:t>
      </w:r>
    </w:p>
    <w:p w14:paraId="4E436BD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B8CE27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 consolidada.</w:t>
      </w:r>
    </w:p>
    <w:p w14:paraId="36D97E8C" w14:textId="77777777" w:rsidR="0000481A" w:rsidRPr="00533B7E" w:rsidRDefault="0000481A" w:rsidP="0000481A">
      <w:pPr>
        <w:pBdr>
          <w:bottom w:val="single" w:sz="12" w:space="1" w:color="auto"/>
        </w:pBdr>
        <w:tabs>
          <w:tab w:val="left" w:leader="underscore" w:pos="9639"/>
        </w:tabs>
        <w:spacing w:after="0" w:line="240" w:lineRule="auto"/>
        <w:jc w:val="both"/>
        <w:rPr>
          <w:rFonts w:ascii="Arial" w:hAnsi="Arial" w:cs="Arial"/>
          <w:sz w:val="16"/>
          <w:szCs w:val="16"/>
        </w:rPr>
      </w:pPr>
    </w:p>
    <w:p w14:paraId="50D88FFC"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1F18893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Nota 1</w:t>
      </w:r>
      <w:r w:rsidRPr="00533B7E">
        <w:rPr>
          <w:rFonts w:ascii="Arial" w:hAnsi="Arial" w:cs="Arial"/>
          <w:sz w:val="16"/>
          <w:szCs w:val="16"/>
        </w:rPr>
        <w:t>: En cada una de las 16 notas de gestión administrativa el ente público deberá poner la nota correspondiente o en su caso la leyenda “Esta nota no le aplica al ente público” y una breve explicación del motivo por el cual no le es aplicable.</w:t>
      </w:r>
    </w:p>
    <w:p w14:paraId="0B54040E" w14:textId="77777777" w:rsidR="0000481A" w:rsidRDefault="0000481A" w:rsidP="0000481A">
      <w:pPr>
        <w:pBdr>
          <w:bottom w:val="single" w:sz="12" w:space="1" w:color="auto"/>
        </w:pBdr>
        <w:tabs>
          <w:tab w:val="left" w:leader="underscore" w:pos="9639"/>
        </w:tabs>
        <w:spacing w:after="0" w:line="240" w:lineRule="auto"/>
        <w:jc w:val="both"/>
        <w:rPr>
          <w:rFonts w:ascii="Arial" w:hAnsi="Arial" w:cs="Arial"/>
          <w:sz w:val="16"/>
          <w:szCs w:val="16"/>
        </w:rPr>
      </w:pPr>
    </w:p>
    <w:p w14:paraId="312C4C1A" w14:textId="77777777" w:rsidR="0000481A" w:rsidRDefault="0000481A" w:rsidP="0000481A">
      <w:pPr>
        <w:rPr>
          <w:rFonts w:ascii="Arial" w:hAnsi="Arial" w:cs="Arial"/>
          <w:sz w:val="16"/>
          <w:szCs w:val="16"/>
        </w:rPr>
      </w:pPr>
    </w:p>
    <w:p w14:paraId="0B705212" w14:textId="7FDAD141" w:rsidR="0000481A" w:rsidRPr="00363689" w:rsidRDefault="0000481A" w:rsidP="0000481A">
      <w:pPr>
        <w:rPr>
          <w:rFonts w:ascii="Arial" w:hAnsi="Arial" w:cs="Arial"/>
          <w:sz w:val="16"/>
          <w:szCs w:val="16"/>
        </w:rPr>
      </w:pPr>
      <w:r w:rsidRPr="00363689">
        <w:rPr>
          <w:rFonts w:ascii="Arial" w:hAnsi="Arial" w:cs="Arial"/>
          <w:sz w:val="16"/>
          <w:szCs w:val="16"/>
        </w:rPr>
        <w:t>Bajo protesta de decir verdad declaramos que los Estados Financieros y sus notas, son razonablemente correctos y son responsabilidad del emisor</w:t>
      </w:r>
      <w:r w:rsidR="00CA55B5">
        <w:rPr>
          <w:rFonts w:ascii="Arial" w:hAnsi="Arial" w:cs="Arial"/>
          <w:sz w:val="16"/>
          <w:szCs w:val="16"/>
        </w:rPr>
        <w:t>.</w:t>
      </w:r>
    </w:p>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2F040DB3" w:rsidR="000B7810" w:rsidRDefault="000B7810" w:rsidP="00CB41C4">
      <w:pPr>
        <w:tabs>
          <w:tab w:val="left" w:leader="underscore" w:pos="9639"/>
        </w:tabs>
        <w:spacing w:after="0" w:line="240" w:lineRule="auto"/>
        <w:jc w:val="center"/>
        <w:rPr>
          <w:rFonts w:ascii="Times New Roman" w:hAnsi="Times New Roman"/>
          <w:sz w:val="24"/>
          <w:szCs w:val="24"/>
        </w:rPr>
      </w:pPr>
    </w:p>
    <w:p w14:paraId="498E5EE6" w14:textId="75DB7358" w:rsidR="0000481A" w:rsidRDefault="0000481A" w:rsidP="00CB41C4">
      <w:pPr>
        <w:tabs>
          <w:tab w:val="left" w:leader="underscore" w:pos="9639"/>
        </w:tabs>
        <w:spacing w:after="0" w:line="240" w:lineRule="auto"/>
        <w:jc w:val="center"/>
        <w:rPr>
          <w:rFonts w:ascii="Times New Roman" w:hAnsi="Times New Roman"/>
          <w:sz w:val="24"/>
          <w:szCs w:val="24"/>
        </w:rPr>
      </w:pPr>
    </w:p>
    <w:p w14:paraId="7EE4F658" w14:textId="30CB8614" w:rsidR="0000481A" w:rsidRDefault="0000481A" w:rsidP="00CB41C4">
      <w:pPr>
        <w:tabs>
          <w:tab w:val="left" w:leader="underscore" w:pos="9639"/>
        </w:tabs>
        <w:spacing w:after="0" w:line="240" w:lineRule="auto"/>
        <w:jc w:val="center"/>
        <w:rPr>
          <w:rFonts w:ascii="Times New Roman" w:hAnsi="Times New Roman"/>
          <w:sz w:val="24"/>
          <w:szCs w:val="24"/>
        </w:rPr>
      </w:pPr>
    </w:p>
    <w:p w14:paraId="0AE38DB4" w14:textId="56BFDD19" w:rsidR="0000481A" w:rsidRDefault="0000481A" w:rsidP="00CB41C4">
      <w:pPr>
        <w:tabs>
          <w:tab w:val="left" w:leader="underscore" w:pos="9639"/>
        </w:tabs>
        <w:spacing w:after="0" w:line="240" w:lineRule="auto"/>
        <w:jc w:val="center"/>
        <w:rPr>
          <w:rFonts w:ascii="Times New Roman" w:hAnsi="Times New Roman"/>
          <w:sz w:val="24"/>
          <w:szCs w:val="24"/>
        </w:rPr>
      </w:pPr>
    </w:p>
    <w:p w14:paraId="1991F674" w14:textId="0FA888F9" w:rsidR="0000481A" w:rsidRDefault="0000481A" w:rsidP="00CB41C4">
      <w:pPr>
        <w:tabs>
          <w:tab w:val="left" w:leader="underscore" w:pos="9639"/>
        </w:tabs>
        <w:spacing w:after="0" w:line="240" w:lineRule="auto"/>
        <w:jc w:val="center"/>
        <w:rPr>
          <w:rFonts w:ascii="Times New Roman" w:hAnsi="Times New Roman"/>
          <w:sz w:val="24"/>
          <w:szCs w:val="24"/>
        </w:rPr>
      </w:pPr>
    </w:p>
    <w:p w14:paraId="4F9B8136" w14:textId="1BB8DCC5" w:rsidR="0000481A" w:rsidRDefault="0000481A" w:rsidP="00CB41C4">
      <w:pPr>
        <w:tabs>
          <w:tab w:val="left" w:leader="underscore" w:pos="9639"/>
        </w:tabs>
        <w:spacing w:after="0" w:line="240" w:lineRule="auto"/>
        <w:jc w:val="center"/>
        <w:rPr>
          <w:rFonts w:ascii="Times New Roman" w:hAnsi="Times New Roman"/>
          <w:sz w:val="24"/>
          <w:szCs w:val="24"/>
        </w:rPr>
      </w:pPr>
    </w:p>
    <w:p w14:paraId="1DFA377A" w14:textId="232F08DB" w:rsidR="0000481A" w:rsidRDefault="0000481A" w:rsidP="00CB41C4">
      <w:pPr>
        <w:tabs>
          <w:tab w:val="left" w:leader="underscore" w:pos="9639"/>
        </w:tabs>
        <w:spacing w:after="0" w:line="240" w:lineRule="auto"/>
        <w:jc w:val="center"/>
        <w:rPr>
          <w:rFonts w:ascii="Times New Roman" w:hAnsi="Times New Roman"/>
          <w:sz w:val="24"/>
          <w:szCs w:val="24"/>
        </w:rPr>
      </w:pPr>
    </w:p>
    <w:p w14:paraId="5E73829D" w14:textId="10669EB3" w:rsidR="0000481A" w:rsidRDefault="0000481A" w:rsidP="00CB41C4">
      <w:pPr>
        <w:tabs>
          <w:tab w:val="left" w:leader="underscore" w:pos="9639"/>
        </w:tabs>
        <w:spacing w:after="0" w:line="240" w:lineRule="auto"/>
        <w:jc w:val="center"/>
        <w:rPr>
          <w:rFonts w:ascii="Times New Roman" w:hAnsi="Times New Roman"/>
          <w:sz w:val="24"/>
          <w:szCs w:val="24"/>
        </w:rPr>
      </w:pPr>
    </w:p>
    <w:p w14:paraId="4BE2EE73" w14:textId="5BE29F2C" w:rsidR="0000481A" w:rsidRDefault="0000481A" w:rsidP="00CB41C4">
      <w:pPr>
        <w:tabs>
          <w:tab w:val="left" w:leader="underscore" w:pos="9639"/>
        </w:tabs>
        <w:spacing w:after="0" w:line="240" w:lineRule="auto"/>
        <w:jc w:val="center"/>
        <w:rPr>
          <w:rFonts w:ascii="Times New Roman" w:hAnsi="Times New Roman"/>
          <w:sz w:val="24"/>
          <w:szCs w:val="24"/>
        </w:rPr>
      </w:pPr>
    </w:p>
    <w:p w14:paraId="20013C52" w14:textId="6A73C764" w:rsidR="0000481A" w:rsidRDefault="0000481A" w:rsidP="00CB41C4">
      <w:pPr>
        <w:tabs>
          <w:tab w:val="left" w:leader="underscore" w:pos="9639"/>
        </w:tabs>
        <w:spacing w:after="0" w:line="240" w:lineRule="auto"/>
        <w:jc w:val="center"/>
        <w:rPr>
          <w:rFonts w:ascii="Times New Roman" w:hAnsi="Times New Roman"/>
          <w:sz w:val="24"/>
          <w:szCs w:val="24"/>
        </w:rPr>
      </w:pPr>
    </w:p>
    <w:p w14:paraId="76B52A9B" w14:textId="1F307000" w:rsidR="0000481A" w:rsidRDefault="0000481A" w:rsidP="00CB41C4">
      <w:pPr>
        <w:tabs>
          <w:tab w:val="left" w:leader="underscore" w:pos="9639"/>
        </w:tabs>
        <w:spacing w:after="0" w:line="240" w:lineRule="auto"/>
        <w:jc w:val="center"/>
        <w:rPr>
          <w:rFonts w:ascii="Times New Roman" w:hAnsi="Times New Roman"/>
          <w:sz w:val="24"/>
          <w:szCs w:val="24"/>
        </w:rPr>
      </w:pPr>
    </w:p>
    <w:p w14:paraId="204574DD" w14:textId="23A0F2FE" w:rsidR="0000481A" w:rsidRDefault="0000481A" w:rsidP="00CB41C4">
      <w:pPr>
        <w:tabs>
          <w:tab w:val="left" w:leader="underscore" w:pos="9639"/>
        </w:tabs>
        <w:spacing w:after="0" w:line="240" w:lineRule="auto"/>
        <w:jc w:val="center"/>
        <w:rPr>
          <w:rFonts w:ascii="Times New Roman" w:hAnsi="Times New Roman"/>
          <w:sz w:val="24"/>
          <w:szCs w:val="24"/>
        </w:rPr>
      </w:pPr>
    </w:p>
    <w:p w14:paraId="7096B04B" w14:textId="5FF62C06" w:rsidR="0000481A" w:rsidRDefault="0000481A" w:rsidP="00CB41C4">
      <w:pPr>
        <w:tabs>
          <w:tab w:val="left" w:leader="underscore" w:pos="9639"/>
        </w:tabs>
        <w:spacing w:after="0" w:line="240" w:lineRule="auto"/>
        <w:jc w:val="center"/>
        <w:rPr>
          <w:rFonts w:ascii="Times New Roman" w:hAnsi="Times New Roman"/>
          <w:sz w:val="24"/>
          <w:szCs w:val="24"/>
        </w:rPr>
      </w:pPr>
    </w:p>
    <w:p w14:paraId="0203C8E9" w14:textId="663F473E" w:rsidR="0000481A" w:rsidRDefault="0000481A" w:rsidP="00CB41C4">
      <w:pPr>
        <w:tabs>
          <w:tab w:val="left" w:leader="underscore" w:pos="9639"/>
        </w:tabs>
        <w:spacing w:after="0" w:line="240" w:lineRule="auto"/>
        <w:jc w:val="center"/>
        <w:rPr>
          <w:rFonts w:ascii="Times New Roman" w:hAnsi="Times New Roman"/>
          <w:sz w:val="24"/>
          <w:szCs w:val="24"/>
        </w:rPr>
      </w:pPr>
    </w:p>
    <w:p w14:paraId="249D02FF" w14:textId="3688C994" w:rsidR="0000481A" w:rsidRDefault="0000481A" w:rsidP="00CB41C4">
      <w:pPr>
        <w:tabs>
          <w:tab w:val="left" w:leader="underscore" w:pos="9639"/>
        </w:tabs>
        <w:spacing w:after="0" w:line="240" w:lineRule="auto"/>
        <w:jc w:val="center"/>
        <w:rPr>
          <w:rFonts w:ascii="Times New Roman" w:hAnsi="Times New Roman"/>
          <w:sz w:val="24"/>
          <w:szCs w:val="24"/>
        </w:rPr>
      </w:pPr>
    </w:p>
    <w:p w14:paraId="38A9FD8B" w14:textId="6C70A1F9" w:rsidR="0000481A" w:rsidRDefault="0000481A" w:rsidP="00CB41C4">
      <w:pPr>
        <w:tabs>
          <w:tab w:val="left" w:leader="underscore" w:pos="9639"/>
        </w:tabs>
        <w:spacing w:after="0" w:line="240" w:lineRule="auto"/>
        <w:jc w:val="center"/>
        <w:rPr>
          <w:rFonts w:ascii="Times New Roman" w:hAnsi="Times New Roman"/>
          <w:sz w:val="24"/>
          <w:szCs w:val="24"/>
        </w:rPr>
      </w:pPr>
    </w:p>
    <w:p w14:paraId="3802BD8D" w14:textId="5C2E99DF" w:rsidR="0000481A" w:rsidRDefault="0000481A" w:rsidP="00CB41C4">
      <w:pPr>
        <w:tabs>
          <w:tab w:val="left" w:leader="underscore" w:pos="9639"/>
        </w:tabs>
        <w:spacing w:after="0" w:line="240" w:lineRule="auto"/>
        <w:jc w:val="center"/>
        <w:rPr>
          <w:rFonts w:ascii="Times New Roman" w:hAnsi="Times New Roman"/>
          <w:sz w:val="24"/>
          <w:szCs w:val="24"/>
        </w:rPr>
      </w:pPr>
    </w:p>
    <w:p w14:paraId="02D1DD14" w14:textId="481AEC4E" w:rsidR="0000481A" w:rsidRDefault="0000481A" w:rsidP="00CB41C4">
      <w:pPr>
        <w:tabs>
          <w:tab w:val="left" w:leader="underscore" w:pos="9639"/>
        </w:tabs>
        <w:spacing w:after="0" w:line="240" w:lineRule="auto"/>
        <w:jc w:val="center"/>
        <w:rPr>
          <w:rFonts w:ascii="Times New Roman" w:hAnsi="Times New Roman"/>
          <w:sz w:val="24"/>
          <w:szCs w:val="24"/>
        </w:rPr>
      </w:pPr>
    </w:p>
    <w:p w14:paraId="4BE85457" w14:textId="2AF85C95" w:rsidR="0000481A" w:rsidRDefault="0000481A" w:rsidP="00CB41C4">
      <w:pPr>
        <w:tabs>
          <w:tab w:val="left" w:leader="underscore" w:pos="9639"/>
        </w:tabs>
        <w:spacing w:after="0" w:line="240" w:lineRule="auto"/>
        <w:jc w:val="center"/>
        <w:rPr>
          <w:rFonts w:ascii="Times New Roman" w:hAnsi="Times New Roman"/>
          <w:sz w:val="24"/>
          <w:szCs w:val="24"/>
        </w:rPr>
      </w:pPr>
    </w:p>
    <w:p w14:paraId="150484D7" w14:textId="77777777" w:rsidR="0000481A" w:rsidRPr="00657009" w:rsidRDefault="0000481A" w:rsidP="00CB41C4">
      <w:pPr>
        <w:tabs>
          <w:tab w:val="left" w:leader="underscore" w:pos="9639"/>
        </w:tabs>
        <w:spacing w:after="0" w:line="240" w:lineRule="auto"/>
        <w:jc w:val="center"/>
        <w:rPr>
          <w:rFonts w:ascii="Times New Roman" w:hAnsi="Times New Roman"/>
          <w:sz w:val="24"/>
          <w:szCs w:val="24"/>
        </w:rPr>
      </w:pPr>
    </w:p>
    <w:sectPr w:rsidR="0000481A" w:rsidRPr="00657009"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1F20" w14:textId="77777777" w:rsidR="00E24072" w:rsidRDefault="00E24072" w:rsidP="00E00323">
      <w:pPr>
        <w:spacing w:after="0" w:line="240" w:lineRule="auto"/>
      </w:pPr>
      <w:r>
        <w:separator/>
      </w:r>
    </w:p>
  </w:endnote>
  <w:endnote w:type="continuationSeparator" w:id="0">
    <w:p w14:paraId="238E1301" w14:textId="77777777" w:rsidR="00E24072" w:rsidRDefault="00E2407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010F7" w14:textId="77777777" w:rsidR="00E24072" w:rsidRDefault="00E24072" w:rsidP="00E00323">
      <w:pPr>
        <w:spacing w:after="0" w:line="240" w:lineRule="auto"/>
      </w:pPr>
      <w:r>
        <w:separator/>
      </w:r>
    </w:p>
  </w:footnote>
  <w:footnote w:type="continuationSeparator" w:id="0">
    <w:p w14:paraId="3A12135C" w14:textId="77777777" w:rsidR="00E24072" w:rsidRDefault="00E24072"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28002FE7" w:rsidR="00154BA3" w:rsidRDefault="0000481A" w:rsidP="00A4610E">
    <w:pPr>
      <w:pStyle w:val="Encabezado"/>
      <w:spacing w:after="0" w:line="240" w:lineRule="auto"/>
      <w:jc w:val="center"/>
    </w:pPr>
    <w:r>
      <w:t>Municipio de Valle de Santiago, GTO.</w:t>
    </w:r>
  </w:p>
  <w:p w14:paraId="651A4C4F" w14:textId="4AE73D60" w:rsidR="00A4610E" w:rsidRDefault="00A4610E" w:rsidP="00A4610E">
    <w:pPr>
      <w:pStyle w:val="Encabezado"/>
      <w:spacing w:after="0" w:line="240" w:lineRule="auto"/>
      <w:jc w:val="center"/>
    </w:pPr>
    <w:r w:rsidRPr="00A4610E">
      <w:t>C</w:t>
    </w:r>
    <w:r w:rsidR="0000481A">
      <w:t>orrespondientes al Primer Trimestre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481A"/>
    <w:rsid w:val="00040D4F"/>
    <w:rsid w:val="00084EAE"/>
    <w:rsid w:val="00091CE6"/>
    <w:rsid w:val="000B7810"/>
    <w:rsid w:val="000C3365"/>
    <w:rsid w:val="0012405A"/>
    <w:rsid w:val="00140052"/>
    <w:rsid w:val="00154BA3"/>
    <w:rsid w:val="001973A2"/>
    <w:rsid w:val="001C75F2"/>
    <w:rsid w:val="001D2063"/>
    <w:rsid w:val="001D43E9"/>
    <w:rsid w:val="00232175"/>
    <w:rsid w:val="003453CA"/>
    <w:rsid w:val="00435A87"/>
    <w:rsid w:val="004A58C8"/>
    <w:rsid w:val="004F234D"/>
    <w:rsid w:val="0054701E"/>
    <w:rsid w:val="005B5531"/>
    <w:rsid w:val="005D3E43"/>
    <w:rsid w:val="005E231E"/>
    <w:rsid w:val="00657009"/>
    <w:rsid w:val="00681C79"/>
    <w:rsid w:val="00713AB1"/>
    <w:rsid w:val="007610BC"/>
    <w:rsid w:val="007714AB"/>
    <w:rsid w:val="007D1E76"/>
    <w:rsid w:val="007D4484"/>
    <w:rsid w:val="0086459F"/>
    <w:rsid w:val="00867E33"/>
    <w:rsid w:val="008847C6"/>
    <w:rsid w:val="008C3BB8"/>
    <w:rsid w:val="008E076C"/>
    <w:rsid w:val="0092765C"/>
    <w:rsid w:val="00A4610E"/>
    <w:rsid w:val="00A730E0"/>
    <w:rsid w:val="00AA41E5"/>
    <w:rsid w:val="00AB722B"/>
    <w:rsid w:val="00AE1F6A"/>
    <w:rsid w:val="00C97E1E"/>
    <w:rsid w:val="00CA55B5"/>
    <w:rsid w:val="00CB41C4"/>
    <w:rsid w:val="00CF1316"/>
    <w:rsid w:val="00D13C44"/>
    <w:rsid w:val="00D40FC2"/>
    <w:rsid w:val="00D5018E"/>
    <w:rsid w:val="00D975B1"/>
    <w:rsid w:val="00E00323"/>
    <w:rsid w:val="00E24072"/>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8</Pages>
  <Words>3179</Words>
  <Characters>17490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20628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Publica Valle de Santiago</cp:lastModifiedBy>
  <cp:revision>27</cp:revision>
  <cp:lastPrinted>2021-04-21T19:45:00Z</cp:lastPrinted>
  <dcterms:created xsi:type="dcterms:W3CDTF">2017-01-12T05:27:00Z</dcterms:created>
  <dcterms:modified xsi:type="dcterms:W3CDTF">2021-04-21T19:51:00Z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